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1B" w:rsidRPr="00FA65A9" w:rsidRDefault="00917E50" w:rsidP="0092031B">
      <w:pPr>
        <w:pStyle w:val="20"/>
        <w:shd w:val="clear" w:color="auto" w:fill="auto"/>
        <w:spacing w:after="0" w:line="240" w:lineRule="auto"/>
        <w:ind w:right="40"/>
        <w:rPr>
          <w:rStyle w:val="21"/>
          <w:rFonts w:ascii="Arial" w:hAnsi="Arial" w:cs="Arial"/>
          <w:sz w:val="24"/>
          <w:szCs w:val="24"/>
        </w:rPr>
      </w:pPr>
      <w:r w:rsidRPr="00FA65A9">
        <w:rPr>
          <w:rStyle w:val="21"/>
          <w:rFonts w:ascii="Arial" w:hAnsi="Arial" w:cs="Arial"/>
          <w:sz w:val="24"/>
          <w:szCs w:val="24"/>
        </w:rPr>
        <w:t>РОССИЙСКАЯ ФЕДЕРАЦИЯ</w:t>
      </w:r>
    </w:p>
    <w:p w:rsidR="0092031B" w:rsidRPr="00FA65A9" w:rsidRDefault="00917E50" w:rsidP="0092031B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FA65A9">
        <w:rPr>
          <w:rStyle w:val="21"/>
          <w:rFonts w:ascii="Arial" w:hAnsi="Arial" w:cs="Arial"/>
          <w:sz w:val="24"/>
          <w:szCs w:val="24"/>
        </w:rPr>
        <w:t xml:space="preserve"> </w:t>
      </w:r>
      <w:r w:rsidRPr="00FA65A9">
        <w:rPr>
          <w:rFonts w:ascii="Arial" w:hAnsi="Arial" w:cs="Arial"/>
          <w:sz w:val="24"/>
          <w:szCs w:val="24"/>
        </w:rPr>
        <w:t xml:space="preserve">ОРЛОВСКАЯ ОБЛАСТЬ </w:t>
      </w:r>
    </w:p>
    <w:p w:rsidR="00B91EA1" w:rsidRPr="00FA65A9" w:rsidRDefault="00917E50" w:rsidP="0092031B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МУНИЦИПАЛЬНОЕ ОБРАЗОВАНИЕ «ГОРОД ОРЁЛ»</w:t>
      </w:r>
    </w:p>
    <w:p w:rsidR="00B91EA1" w:rsidRPr="00FA65A9" w:rsidRDefault="00917E50" w:rsidP="0092031B">
      <w:pPr>
        <w:pStyle w:val="12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FA65A9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92031B" w:rsidRPr="00FA65A9" w:rsidRDefault="0092031B" w:rsidP="0092031B">
      <w:pPr>
        <w:pStyle w:val="22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B91EA1" w:rsidRPr="00FA65A9" w:rsidRDefault="00917E50" w:rsidP="0092031B">
      <w:pPr>
        <w:pStyle w:val="22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r w:rsidRPr="00FA65A9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92031B" w:rsidRPr="00FA65A9" w:rsidRDefault="0092031B" w:rsidP="0092031B">
      <w:pPr>
        <w:pStyle w:val="50"/>
        <w:shd w:val="clear" w:color="auto" w:fill="auto"/>
        <w:spacing w:before="0" w:after="0" w:line="240" w:lineRule="auto"/>
        <w:ind w:right="40"/>
        <w:rPr>
          <w:rFonts w:ascii="Arial" w:hAnsi="Arial" w:cs="Arial"/>
        </w:rPr>
      </w:pPr>
      <w:r w:rsidRPr="00FA65A9">
        <w:rPr>
          <w:rFonts w:ascii="Arial" w:hAnsi="Arial" w:cs="Arial"/>
        </w:rPr>
        <w:t>11 апреля 2024</w:t>
      </w:r>
      <w:r w:rsidRPr="00FA65A9">
        <w:rPr>
          <w:rFonts w:ascii="Arial" w:hAnsi="Arial" w:cs="Arial"/>
        </w:rPr>
        <w:tab/>
      </w:r>
      <w:r w:rsidRPr="00FA65A9">
        <w:rPr>
          <w:rFonts w:ascii="Arial" w:hAnsi="Arial" w:cs="Arial"/>
        </w:rPr>
        <w:tab/>
      </w:r>
      <w:r w:rsidRPr="00FA65A9">
        <w:rPr>
          <w:rFonts w:ascii="Arial" w:hAnsi="Arial" w:cs="Arial"/>
        </w:rPr>
        <w:tab/>
      </w:r>
      <w:r w:rsidRPr="00FA65A9">
        <w:rPr>
          <w:rFonts w:ascii="Arial" w:hAnsi="Arial" w:cs="Arial"/>
        </w:rPr>
        <w:tab/>
      </w:r>
      <w:r w:rsidRPr="00FA65A9">
        <w:rPr>
          <w:rFonts w:ascii="Arial" w:hAnsi="Arial" w:cs="Arial"/>
        </w:rPr>
        <w:tab/>
      </w:r>
      <w:r w:rsidRPr="00FA65A9">
        <w:rPr>
          <w:rFonts w:ascii="Arial" w:hAnsi="Arial" w:cs="Arial"/>
        </w:rPr>
        <w:tab/>
      </w:r>
      <w:r w:rsidRPr="00FA65A9">
        <w:rPr>
          <w:rFonts w:ascii="Arial" w:hAnsi="Arial" w:cs="Arial"/>
        </w:rPr>
        <w:tab/>
      </w:r>
      <w:r w:rsidRPr="00FA65A9">
        <w:rPr>
          <w:rFonts w:ascii="Arial" w:hAnsi="Arial" w:cs="Arial"/>
        </w:rPr>
        <w:tab/>
        <w:t>№ 1602</w:t>
      </w:r>
    </w:p>
    <w:p w:rsidR="00B91EA1" w:rsidRPr="00FA65A9" w:rsidRDefault="00917E50" w:rsidP="0092031B">
      <w:pPr>
        <w:pStyle w:val="50"/>
        <w:shd w:val="clear" w:color="auto" w:fill="auto"/>
        <w:spacing w:before="0" w:after="0" w:line="240" w:lineRule="auto"/>
        <w:ind w:right="40"/>
        <w:rPr>
          <w:rFonts w:ascii="Arial" w:hAnsi="Arial" w:cs="Arial"/>
        </w:rPr>
      </w:pPr>
      <w:r w:rsidRPr="00FA65A9">
        <w:rPr>
          <w:rFonts w:ascii="Arial" w:hAnsi="Arial" w:cs="Arial"/>
        </w:rPr>
        <w:t>Орёл</w:t>
      </w:r>
    </w:p>
    <w:p w:rsidR="0092031B" w:rsidRPr="00FA65A9" w:rsidRDefault="0092031B" w:rsidP="0092031B">
      <w:pPr>
        <w:pStyle w:val="50"/>
        <w:shd w:val="clear" w:color="auto" w:fill="auto"/>
        <w:spacing w:before="0" w:after="0" w:line="240" w:lineRule="auto"/>
        <w:ind w:right="40"/>
        <w:rPr>
          <w:rFonts w:ascii="Arial" w:hAnsi="Arial" w:cs="Arial"/>
        </w:rPr>
      </w:pPr>
    </w:p>
    <w:p w:rsidR="00B91EA1" w:rsidRPr="00FA65A9" w:rsidRDefault="0092031B" w:rsidP="0092031B">
      <w:pPr>
        <w:pStyle w:val="50"/>
        <w:shd w:val="clear" w:color="auto" w:fill="auto"/>
        <w:spacing w:before="0" w:after="0" w:line="240" w:lineRule="auto"/>
        <w:ind w:left="920" w:right="800" w:firstLine="500"/>
        <w:rPr>
          <w:rFonts w:ascii="Arial" w:hAnsi="Arial" w:cs="Arial"/>
        </w:rPr>
      </w:pPr>
      <w:r w:rsidRPr="00FA65A9">
        <w:rPr>
          <w:rFonts w:ascii="Arial" w:hAnsi="Arial" w:cs="Arial"/>
        </w:rPr>
        <w:t xml:space="preserve">О </w:t>
      </w:r>
      <w:r w:rsidR="00917E50" w:rsidRPr="00FA65A9">
        <w:rPr>
          <w:rFonts w:ascii="Arial" w:hAnsi="Arial" w:cs="Arial"/>
        </w:rPr>
        <w:t xml:space="preserve">внесении изменений в постановление администрации города Орла от 24.12.2012 № 4592 «О взаимодействии жилищно- коммунальных служб </w:t>
      </w:r>
      <w:r w:rsidR="00917E50" w:rsidRPr="00FA65A9">
        <w:rPr>
          <w:rFonts w:ascii="Arial" w:hAnsi="Arial" w:cs="Arial"/>
        </w:rPr>
        <w:t>муниципального образования «Город Орёл» при возникновении аварийных ситуаций»</w:t>
      </w:r>
    </w:p>
    <w:p w:rsidR="0092031B" w:rsidRPr="00FA65A9" w:rsidRDefault="0092031B" w:rsidP="0092031B">
      <w:pPr>
        <w:pStyle w:val="50"/>
        <w:shd w:val="clear" w:color="auto" w:fill="auto"/>
        <w:spacing w:before="0" w:after="0" w:line="240" w:lineRule="auto"/>
        <w:ind w:left="920" w:right="800" w:firstLine="500"/>
        <w:jc w:val="left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spacing w:before="0" w:after="0" w:line="240" w:lineRule="auto"/>
        <w:ind w:left="920" w:right="800" w:firstLine="500"/>
        <w:jc w:val="left"/>
        <w:rPr>
          <w:rFonts w:ascii="Arial" w:hAnsi="Arial" w:cs="Arial"/>
        </w:rPr>
      </w:pPr>
    </w:p>
    <w:p w:rsidR="00B91EA1" w:rsidRPr="00FA65A9" w:rsidRDefault="00917E50" w:rsidP="0092031B">
      <w:pPr>
        <w:pStyle w:val="50"/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FA65A9">
        <w:rPr>
          <w:rFonts w:ascii="Arial" w:hAnsi="Arial" w:cs="Arial"/>
        </w:rPr>
        <w:t>В соответствии с Федеральным законом Российской Федерации от 22 августа 1995 г. № 151-ФЗ «Об аварийно-спасательных службах и статусе спасателей», руководствуясь статьёй 22 Устава</w:t>
      </w:r>
      <w:r w:rsidRPr="00FA65A9">
        <w:rPr>
          <w:rFonts w:ascii="Arial" w:hAnsi="Arial" w:cs="Arial"/>
        </w:rPr>
        <w:t xml:space="preserve"> города Орла, </w:t>
      </w:r>
      <w:r w:rsidRPr="00FA65A9">
        <w:rPr>
          <w:rStyle w:val="513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B91EA1" w:rsidRPr="00FA65A9" w:rsidRDefault="00917E50" w:rsidP="0092031B">
      <w:pPr>
        <w:pStyle w:val="5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FA65A9">
        <w:rPr>
          <w:rFonts w:ascii="Arial" w:hAnsi="Arial" w:cs="Arial"/>
        </w:rPr>
        <w:t xml:space="preserve"> Внести в постановление администрации города Орла от 24.12.2012 № 4592 «О взаимодействии жилищно-коммунальных служб муниципального образования «Город Орёл» при возникновении аварийных ситуаций» следующи</w:t>
      </w:r>
      <w:r w:rsidRPr="00FA65A9">
        <w:rPr>
          <w:rFonts w:ascii="Arial" w:hAnsi="Arial" w:cs="Arial"/>
        </w:rPr>
        <w:t>е изменения:</w:t>
      </w:r>
    </w:p>
    <w:p w:rsidR="00B91EA1" w:rsidRPr="00FA65A9" w:rsidRDefault="00917E50" w:rsidP="0092031B">
      <w:pPr>
        <w:pStyle w:val="50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FA65A9">
        <w:rPr>
          <w:rFonts w:ascii="Arial" w:hAnsi="Arial" w:cs="Arial"/>
        </w:rPr>
        <w:t xml:space="preserve"> Приложение № 1 к постановлению изложить в новой редакции согласно приложению № 1 к настоящему постановлению;</w:t>
      </w:r>
    </w:p>
    <w:p w:rsidR="00B91EA1" w:rsidRPr="00FA65A9" w:rsidRDefault="00917E50" w:rsidP="0092031B">
      <w:pPr>
        <w:pStyle w:val="50"/>
        <w:numPr>
          <w:ilvl w:val="1"/>
          <w:numId w:val="1"/>
        </w:numPr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FA65A9">
        <w:rPr>
          <w:rFonts w:ascii="Arial" w:hAnsi="Arial" w:cs="Arial"/>
        </w:rPr>
        <w:t xml:space="preserve"> Приложение № 2 к постановлению изложить в новой редакции согласно приложению № 2 к настоящему постановлению.</w:t>
      </w:r>
    </w:p>
    <w:p w:rsidR="00B91EA1" w:rsidRPr="00FA65A9" w:rsidRDefault="00917E50" w:rsidP="0092031B">
      <w:pPr>
        <w:pStyle w:val="5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FA65A9">
        <w:rPr>
          <w:rFonts w:ascii="Arial" w:hAnsi="Arial" w:cs="Arial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</w:t>
      </w:r>
      <w:r w:rsidRPr="00FA65A9">
        <w:rPr>
          <w:rFonts w:ascii="Arial" w:hAnsi="Arial" w:cs="Arial"/>
        </w:rPr>
        <w:t>Интернет».</w:t>
      </w:r>
    </w:p>
    <w:p w:rsidR="00B91EA1" w:rsidRPr="00FA65A9" w:rsidRDefault="00917E50" w:rsidP="0092031B">
      <w:pPr>
        <w:pStyle w:val="5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FA65A9">
        <w:rPr>
          <w:rFonts w:ascii="Arial" w:hAnsi="Arial" w:cs="Arial"/>
        </w:rPr>
        <w:t xml:space="preserve"> Контроль за исполнением настоящего постановления возложить на заместителя Мэра города Орла - начальника управления жилищно- коммунального хозяйства администрации города Орла С.Н. Филатова.</w:t>
      </w: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B91EA1" w:rsidRPr="00FA65A9" w:rsidRDefault="00917E50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  <w:r w:rsidRPr="00FA65A9">
        <w:rPr>
          <w:rFonts w:ascii="Arial" w:hAnsi="Arial" w:cs="Arial"/>
        </w:rPr>
        <w:t>Мэр города Орла</w:t>
      </w:r>
      <w:r w:rsidRPr="00FA65A9">
        <w:rPr>
          <w:rFonts w:ascii="Arial" w:hAnsi="Arial" w:cs="Arial"/>
        </w:rPr>
        <w:tab/>
        <w:t>Ю.Н.</w:t>
      </w:r>
      <w:r w:rsidRPr="00FA65A9">
        <w:rPr>
          <w:rFonts w:ascii="Arial" w:hAnsi="Arial" w:cs="Arial"/>
        </w:rPr>
        <w:tab/>
        <w:t>Парахин</w:t>
      </w: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FA65A9" w:rsidRPr="00FA65A9" w:rsidRDefault="00FA65A9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FA65A9" w:rsidRPr="00FA65A9" w:rsidRDefault="00FA65A9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FA65A9" w:rsidRPr="00FA65A9" w:rsidRDefault="00FA65A9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FA65A9" w:rsidRPr="00FA65A9" w:rsidRDefault="00FA65A9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5812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ConsPlusNormal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Приложение № 1</w:t>
      </w:r>
    </w:p>
    <w:p w:rsidR="0092031B" w:rsidRPr="00FA65A9" w:rsidRDefault="0092031B" w:rsidP="0092031B">
      <w:pPr>
        <w:pStyle w:val="ConsPlusNormal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к постановлению</w:t>
      </w:r>
    </w:p>
    <w:p w:rsidR="0092031B" w:rsidRPr="00FA65A9" w:rsidRDefault="0092031B" w:rsidP="0092031B">
      <w:pPr>
        <w:pStyle w:val="ConsPlusNormal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администрации города Орла</w:t>
      </w:r>
    </w:p>
    <w:p w:rsidR="0092031B" w:rsidRPr="00FA65A9" w:rsidRDefault="0092031B" w:rsidP="0092031B">
      <w:pPr>
        <w:pStyle w:val="ConsPlusNormal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от </w:t>
      </w:r>
      <w:r w:rsidRPr="00FA65A9">
        <w:rPr>
          <w:rFonts w:ascii="Arial" w:hAnsi="Arial" w:cs="Arial"/>
          <w:sz w:val="24"/>
          <w:szCs w:val="24"/>
        </w:rPr>
        <w:t>11 апреля 2024 № 1602</w:t>
      </w:r>
    </w:p>
    <w:p w:rsidR="0092031B" w:rsidRPr="00FA65A9" w:rsidRDefault="0092031B" w:rsidP="0092031B">
      <w:pPr>
        <w:pStyle w:val="ConsPlusNormal"/>
        <w:ind w:left="5812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Приложение № 1</w:t>
      </w:r>
    </w:p>
    <w:p w:rsidR="0092031B" w:rsidRPr="00FA65A9" w:rsidRDefault="0092031B" w:rsidP="0092031B">
      <w:pPr>
        <w:pStyle w:val="ConsPlusNormal"/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постановлению</w:t>
      </w:r>
    </w:p>
    <w:p w:rsidR="0092031B" w:rsidRPr="00FA65A9" w:rsidRDefault="0092031B" w:rsidP="009203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администрации города Орла</w:t>
      </w:r>
    </w:p>
    <w:p w:rsidR="0092031B" w:rsidRPr="00FA65A9" w:rsidRDefault="0092031B" w:rsidP="0092031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от 24 декабря 2012 г. № 4592</w:t>
      </w: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FA65A9">
        <w:rPr>
          <w:rFonts w:ascii="Arial" w:hAnsi="Arial" w:cs="Arial"/>
          <w:b w:val="0"/>
          <w:sz w:val="24"/>
          <w:szCs w:val="24"/>
        </w:rPr>
        <w:t xml:space="preserve">Положение </w:t>
      </w:r>
    </w:p>
    <w:p w:rsidR="0092031B" w:rsidRPr="00FA65A9" w:rsidRDefault="0092031B" w:rsidP="0092031B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FA65A9">
        <w:rPr>
          <w:rFonts w:ascii="Arial" w:hAnsi="Arial" w:cs="Arial"/>
          <w:b w:val="0"/>
          <w:sz w:val="24"/>
          <w:szCs w:val="24"/>
        </w:rPr>
        <w:t>о взаимодействии оперативно - диспетчерских и аварийно-</w:t>
      </w:r>
    </w:p>
    <w:p w:rsidR="0092031B" w:rsidRPr="00FA65A9" w:rsidRDefault="0092031B" w:rsidP="0092031B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FA65A9">
        <w:rPr>
          <w:rFonts w:ascii="Arial" w:hAnsi="Arial" w:cs="Arial"/>
          <w:b w:val="0"/>
          <w:sz w:val="24"/>
          <w:szCs w:val="24"/>
        </w:rPr>
        <w:t>восстановительных служб энергоснабжающих, теплоснабжающих, теплосетевых, водоснабжающих, газоснабжающих организаций и абонентов при возникновении аварий и аварийных ситуаций</w:t>
      </w: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 Общие положения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1.1. Настоящее Положение о взаимодействии оперативно - диспетчерских и аварийно-восстановительных служб электроснабжающих, теплоснабжающих, теплосетевых, водоснабжающих, газоснабжающих организаций при возникновении аварий и аварийных ситуаций (далее - Положение) определяет порядок взаимодействия оперативно-диспетчерских и аварийно-восстановительных служб тепло-, электро-, водоснабжения, газоснабжения, сетевых организаций (далее - организации).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1.2. Все организации, обеспечивающие выработку тепловой энергии, транспортировку тепловой, электрической энергии, газа и воды должны иметь круглосуточно работающие оперативно-диспетчерские и аварийно-восстановительные службы.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В организациях, штатным расписанием которых не предусмотрены оперативно-диспетчерские и аварийно-восстановительные службы, обязанности оперативного руководства возлагаются на лицо, определённое соответствующим приказом руководителя.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1.3. Общую координацию действий оперативно-диспетчерских и аварийно-восстановительных служб по локализации и ликвидации аварийной ситуации осуществляет оперативно-диспетчерская служба организации, в границах эксплуатационной ответственности которой возникла аварийная ситуация.</w:t>
      </w: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Сведения о телефонах оперативно-диспетчерских служб предоставляются в МКУ «Единая дежурно-диспетчерская служба города Орла» (далее - ЕДДС), управление жилищно-коммунального хозяйства администрации города Орла (далее - УЖКХ) и в управление по безопасности администрации города Орла.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1.4. К ликвидации аварий на системах жизнеобеспечения города Орла организации и структуры, обеспечивающие работу этих систем, обязаны приступать немедленно.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В случае неустранения аварии через 12 часов, прошедших с момента отключения системы жизнеобеспечения, проводится заседание комиссии по предупреждению и ликвидации чрезвычайных ситуаций и обеспечению пожарной безопасности города Орла с привлечением представителей УЖКХ и взаимодействующих организаций с целью принятия конкретных мер для ликвидации аварии и недопущения её развития в чрезвычайную ситуацию.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1.5. В случае возникновения аварии на объектах тепло-, электро-, водоснабжения и газоснабжения, объектах ЖКХ или инженерных сетях, собственник и (или) </w:t>
      </w:r>
      <w:r w:rsidRPr="00FA65A9">
        <w:rPr>
          <w:rFonts w:ascii="Arial" w:hAnsi="Arial" w:cs="Arial"/>
          <w:sz w:val="24"/>
          <w:szCs w:val="24"/>
        </w:rPr>
        <w:lastRenderedPageBreak/>
        <w:t>эксплуатирующая организация по которым не определены, дежурный диспетчер этих организаций незамедлительно сообщает об аварии оперативному дежурному ЕДДС по телефонам 43-22-12, 43-37-35.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На место аварии прибывают представители УЖКХ, организации поставщика или сетевой компании для составления акта об аварии на сетях тепло-, электро-, водоснабжения и газоснабжения, объектах жилищно-коммунального хозяйства. В зависимости от характера аварийной ситуации для выполнения работ привлекаются специализированные организации на основании договора или муниципального контракта, заключённого                 в порядке, установленном действующим законодательством.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1.6. При получении сообщения о возникновении аварии либо иной нештатной ситуации диспетчер (ответственный дежурный) соответствующей организации принимает меры по обеспечению безопасности на месте аварии и действует в соответствии с инструкциями по ликвидации аварийных ситуаций. Диспетчер организации оповещает об аварийной ситуации оперативного дежурного ЕДДС по телефону 43-22-12, 43-37-35.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1.7. Информацию о возникновении аварийной ситуации, о решении, принятом по вопросу её локализации и (или) ликвидации, диспетчер (ответственный дежурный) соответствующей организации сообщает руководителю своей организации, диспетчерам организаций, которым необходимо изменить или прекратить работу оборудования и иных объектов жизнеобеспечения, диспетчерским службам потребителей, информирует оперативного дежурного ЕДДС по телефонам 43-22-12, 43-37-35.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 w:rsidRPr="00FA65A9">
        <w:rPr>
          <w:rFonts w:ascii="Arial" w:hAnsi="Arial" w:cs="Arial"/>
          <w:sz w:val="24"/>
          <w:szCs w:val="24"/>
        </w:rPr>
        <w:t>1.8. Решение о введении режима ограничения или отключения подачи тепловой энергии потребителям принимается руководством организаций в соответствии с действующим законодательством, при этом информируются организации-потребители, ЕДДС, УЖКХ. Организации, осуществляющие деятельность в сфере управления многоквартирными домами, информируют жителей многоквартирных домов в соответствии с постановлением Правительства РФ от 06.05.2011 № 354 (ред. от 28.11.2023)                                    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1.9. Отключение и последующее подключение к сетям тепло-, электро-, водоснабжения и водоотведения, газоснабжение многоквартирных домов, а также последующие заполнение и наладка систем проводятся силами аварийно-восстановительных служб и организаций, осуществляющих деятельность в сфере управления многоквартирными домами.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1.10. В случае, когда в результате аварии создается угроза жизни и здоровью людей, разрушения оборудования, городских коммуникаций или строений, диспетчеры (ответственные дежурные) организаций отдают распоряжение на вывод из работы оборудования, с обязательным извещением оперативного дежурного ЕДДС по телефонам 43-22-12, 43-37-35 и перед отключением, и после завершения работ по выводу из работы аварийного оборудования или участков сетей.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1.11. В обязанности руководителя организации или ответственного за организацию работ по ликвидации аварии входит: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- вызов через диспетчерские службы соответствующих представителей организаций и ведомств, в ведении которых находятся коммуникации, сооружения в месте аварии, согласование с ними проведения земляных работ для ликвидации аварии;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- организация выполнения работ на подземных коммуникациях и обеспечение безопасных условий производства работ;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lastRenderedPageBreak/>
        <w:t>- предоставление промежуточной и итоговой информации о завершении аварийно-восстановительных работ в ЕДДС и соответствующие диспетчерские службы для восстановления рабочей схемы, заданных параметров энергоснабжения и подключения потребителей.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1.12. Организации и предприятия всех форм собственности, имеющие свои коммуникации или сооружения в месте возникновения аварии, по вызову диспетчера организации незамедлительно направляют своих представителей (ответственных дежурных) для согласования условий производства работ по ликвидации аварии в любое время суток.</w:t>
      </w:r>
    </w:p>
    <w:p w:rsidR="0092031B" w:rsidRPr="00FA65A9" w:rsidRDefault="0092031B" w:rsidP="00FA65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 Взаимодействие оперативно-диспетчерских служб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2.1. Ежедневно, а также в случае возникновения аварийной ситуации - в течение всей смены диспетчеры (начальники смены) организаций (независимо от форм собственности и ведомственной принадлежности) по запросу ЕДДС или УЖКХ осуществляют передачу оперативной информации о режимах работы тепловых источников и тепловых сетей, электроснабжения, водоснабжения и газоснабжения.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2.2. При возникновении аварийной ситуации организации (независимо от форм собственности и ведомственной принадлежности) в течение всей смены осуществляют передачу оперативной информации об отключениях тепло-, водо-, электро- и газоснабжения в ЕДДС по телефонам 43-22-12,         43-37-35 организациям, осуществляющим деятельность в сфере управления многоквартирными домами.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2.3. ЕДДС, УЖКХ осуществляют контроль соблюдения организациями утверждённых режимов работы систем тепло-, водо-, электро- и газоснабжения и готовят информацию о всех нештатных ситуациях по многоквартирным домам и системам энергоснабжения для представления Мэру города Орла.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2.4. Планируемый вывод в ремонт оборудования, находящегося в хозяйственном ведении, оперативном управлении и (или) в аренде, безвозмездном пользовании организаций, производится с обязательным информированием ЕДДС и УЖКХ не менее чем за 10 дней до начала намеченных работ, а в случае аварии - незамедлительно.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2.5. При проведении плановых ремонтных работ на водозаборных сооружениях, которые приводят к ограничению или прекращению подачи холодной воды потребителям города, диспетчер организации, в ведении которой находятся данные водозаборные сооружения, должен не менее чем за 10 дней сообщить диспетчеру соответствующей организации, ЕДДС и в УЖКХ об этих отключениях с указанием сроков начала и окончания работ.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При авариях, повлекших за собой длительное прекращение подачи холодной воды на котельные, расположенные на территории города Орла, диспетчер организации вводит ограничение горячего водоснабжения потребителей вплоть до полного его прекращения.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немедленно диспетчерам соответствующих организаций, ЕДДС об этих отключениях с указанием сроков начала и окончания работ.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2.7. В случаях понижения температуры наружного воздуха до значений, при которых на тепловых источниках системы теплоснабжения не хватает теплогенерирующих мощностей, диспетчер организации, по согласованию с администрацией города Орла, вводит ограничение отпуска тепловой энергии потребителям (преимущественно на административные и служебные здания), одновременно извещая об этом ЕДДС, УЖКХ и потребителей коммунальных услуг.</w:t>
      </w:r>
    </w:p>
    <w:p w:rsidR="0092031B" w:rsidRPr="00FA65A9" w:rsidRDefault="0092031B" w:rsidP="0092031B">
      <w:pPr>
        <w:pStyle w:val="ConsPlusNormal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lastRenderedPageBreak/>
        <w:t>2.8. Включения объектов, которые выводились в ремонт по заявкам организаций, осуществляющих деятельность в сфере управления многоквартирными домами, производятся по разрешению руководства организаций, по обращениям ответственных лиц, указанных в заявке организаций, осуществляющих деятельность в сфере управления многоквартирными домами. После согласования диспетчеры вышеуказанных организаций сообщают в ЕДДС время начала включения.</w:t>
      </w:r>
    </w:p>
    <w:p w:rsidR="0092031B" w:rsidRPr="00FA65A9" w:rsidRDefault="0092031B" w:rsidP="009203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Начальник управления по безопасности</w:t>
      </w:r>
    </w:p>
    <w:p w:rsidR="0092031B" w:rsidRPr="00FA65A9" w:rsidRDefault="0092031B" w:rsidP="0092031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администрации города Орла                                                        И.В.Тарасов</w:t>
      </w: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92031B" w:rsidRPr="00FA65A9" w:rsidRDefault="0092031B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031B" w:rsidRDefault="0092031B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791E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17E50" w:rsidRDefault="00917E50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87791E" w:rsidRPr="00FA65A9" w:rsidRDefault="0087791E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tabs>
          <w:tab w:val="left" w:pos="6521"/>
          <w:tab w:val="left" w:pos="6946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2031B" w:rsidRPr="00FA65A9" w:rsidRDefault="0092031B" w:rsidP="00FA65A9">
      <w:pPr>
        <w:pStyle w:val="ConsPlusNormal"/>
        <w:tabs>
          <w:tab w:val="left" w:pos="6521"/>
          <w:tab w:val="left" w:pos="6946"/>
        </w:tabs>
        <w:spacing w:line="240" w:lineRule="auto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2031B" w:rsidRPr="00FA65A9" w:rsidRDefault="0092031B" w:rsidP="00FA65A9">
      <w:pPr>
        <w:pStyle w:val="ConsPlusNormal"/>
        <w:spacing w:line="240" w:lineRule="auto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к постановлению</w:t>
      </w:r>
    </w:p>
    <w:p w:rsidR="0092031B" w:rsidRPr="00FA65A9" w:rsidRDefault="0092031B" w:rsidP="00FA65A9">
      <w:pPr>
        <w:pStyle w:val="ConsPlusNormal"/>
        <w:spacing w:line="240" w:lineRule="auto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администрации города Орла</w:t>
      </w:r>
    </w:p>
    <w:p w:rsidR="0092031B" w:rsidRPr="00FA65A9" w:rsidRDefault="0092031B" w:rsidP="00FA65A9">
      <w:pPr>
        <w:pStyle w:val="ConsPlusNormal"/>
        <w:spacing w:line="240" w:lineRule="auto"/>
        <w:ind w:left="5812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от </w:t>
      </w:r>
      <w:r w:rsidR="00FA65A9" w:rsidRPr="00FA65A9">
        <w:rPr>
          <w:rFonts w:ascii="Arial" w:hAnsi="Arial" w:cs="Arial"/>
          <w:sz w:val="24"/>
          <w:szCs w:val="24"/>
        </w:rPr>
        <w:t>11 апреля 2024 № 1602</w:t>
      </w:r>
    </w:p>
    <w:p w:rsidR="0092031B" w:rsidRPr="00FA65A9" w:rsidRDefault="0092031B" w:rsidP="0092031B">
      <w:pPr>
        <w:pStyle w:val="ConsPlusNormal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Приложение № 2</w:t>
      </w:r>
    </w:p>
    <w:p w:rsidR="0092031B" w:rsidRPr="00FA65A9" w:rsidRDefault="0092031B" w:rsidP="0092031B">
      <w:pPr>
        <w:pStyle w:val="ConsPlusNormal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постановлению</w:t>
      </w:r>
    </w:p>
    <w:p w:rsidR="0092031B" w:rsidRPr="00FA65A9" w:rsidRDefault="0092031B" w:rsidP="0092031B">
      <w:pPr>
        <w:pStyle w:val="ConsPlusNormal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администрации города Орла</w:t>
      </w:r>
    </w:p>
    <w:p w:rsidR="0092031B" w:rsidRPr="00FA65A9" w:rsidRDefault="0092031B" w:rsidP="0092031B">
      <w:pPr>
        <w:pStyle w:val="ConsPlusNormal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от 24 декабря 2012 г. № 4592</w:t>
      </w: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4" w:name="Bookmark3"/>
      <w:bookmarkEnd w:id="4"/>
      <w:r w:rsidRPr="00FA65A9">
        <w:rPr>
          <w:rFonts w:ascii="Arial" w:hAnsi="Arial" w:cs="Arial"/>
          <w:b w:val="0"/>
          <w:sz w:val="24"/>
          <w:szCs w:val="24"/>
        </w:rPr>
        <w:t>Перечень</w:t>
      </w:r>
    </w:p>
    <w:p w:rsidR="0092031B" w:rsidRPr="00FA65A9" w:rsidRDefault="0092031B" w:rsidP="0092031B">
      <w:pPr>
        <w:pStyle w:val="ConsPlusTitle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FA65A9">
        <w:rPr>
          <w:rFonts w:ascii="Arial" w:hAnsi="Arial" w:cs="Arial"/>
          <w:b w:val="0"/>
          <w:sz w:val="24"/>
          <w:szCs w:val="24"/>
        </w:rPr>
        <w:t>оперативно-диспетчерских и аварийно-восстановительных служб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272"/>
        <w:gridCol w:w="3233"/>
      </w:tblGrid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№№ телефонов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Правительство Орловской области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47-53-00, 41-63-67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УФСБ Орловской области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40-82-92, 43-23-90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УМВД по Орловской области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43-32-32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УМВД города Орла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43-36-22, 40-00-70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ГИБДД Орловской области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72-34-12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Батальон ДПС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77-35-90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Скорая помощь (служба 03)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76-35-90 (прямая связь с ДДС города)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ГУ МЧС России по Орловской области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43-09-45, 43-37-36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ЦУКС Главного управления МЧС России по Орловской области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МКУ «Единая дежурно-диспетчерская служба города Орла»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43-22-12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по Железнодорожному району администрации города Орла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54-45-75 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по Заводскому району администрации города Орла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73-54-80 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по Северному району администрации города Орла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33-16-20 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Территориальное управление по Советскому району администрации города Орла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43-04-33 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Орловская ТЭЦ Филиал ПАО «Квадра» – «Орловская генерация»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54-41-32 (прямая связь с ДДС города)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МПП ВКХ «Орёлводоканал»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44-36-18 (прямая связь с </w:t>
            </w:r>
            <w:r w:rsidRPr="00FA65A9">
              <w:rPr>
                <w:rFonts w:ascii="Arial" w:hAnsi="Arial" w:cs="Arial"/>
                <w:sz w:val="24"/>
                <w:szCs w:val="24"/>
              </w:rPr>
              <w:lastRenderedPageBreak/>
              <w:t>ДДС города)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АО «Орёлоблэнерго»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55-35-14 (прямая связь с ДДС города)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Филиал АО «Газпром газораспределение»  г. Орёл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43-49-04, 43-58-22, (прямая связь с ДДС города)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ООО «АРС»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54-00-64, 48-10-68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МУП «ТТП»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20-13-79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ООО «Орёллифт»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71-74-91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МБУ «Спецавтобаза по санитарной очистке города Орла»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30-70-37;</w:t>
            </w:r>
          </w:p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8-915-501-02-02 </w:t>
            </w:r>
          </w:p>
        </w:tc>
      </w:tr>
      <w:tr w:rsidR="0092031B" w:rsidRPr="00FA65A9" w:rsidTr="007967A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>Филиал ПАО «Ростелеком» по Брянской и Орловской областям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31B" w:rsidRPr="00FA65A9" w:rsidRDefault="0092031B" w:rsidP="007967A8">
            <w:pPr>
              <w:pStyle w:val="ConsPlusNormal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5A9">
              <w:rPr>
                <w:rFonts w:ascii="Arial" w:hAnsi="Arial" w:cs="Arial"/>
                <w:sz w:val="24"/>
                <w:szCs w:val="24"/>
              </w:rPr>
              <w:t xml:space="preserve">47-51-70 </w:t>
            </w:r>
          </w:p>
        </w:tc>
      </w:tr>
    </w:tbl>
    <w:p w:rsidR="0092031B" w:rsidRPr="00FA65A9" w:rsidRDefault="0092031B" w:rsidP="0092031B">
      <w:pPr>
        <w:rPr>
          <w:rFonts w:ascii="Arial" w:hAnsi="Arial" w:cs="Arial"/>
        </w:rPr>
      </w:pPr>
    </w:p>
    <w:p w:rsidR="0092031B" w:rsidRPr="00FA65A9" w:rsidRDefault="0092031B" w:rsidP="0092031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1B" w:rsidRPr="00FA65A9" w:rsidRDefault="0092031B" w:rsidP="0092031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Начальник управления по безопасности</w:t>
      </w:r>
    </w:p>
    <w:p w:rsidR="0092031B" w:rsidRPr="00FA65A9" w:rsidRDefault="0092031B" w:rsidP="0092031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65A9">
        <w:rPr>
          <w:rFonts w:ascii="Arial" w:hAnsi="Arial" w:cs="Arial"/>
          <w:sz w:val="24"/>
          <w:szCs w:val="24"/>
        </w:rPr>
        <w:t>администрации города Орла                                                     И.В.Тарасов</w:t>
      </w: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p w:rsidR="0092031B" w:rsidRPr="00FA65A9" w:rsidRDefault="0092031B" w:rsidP="0092031B">
      <w:pPr>
        <w:pStyle w:val="50"/>
        <w:shd w:val="clear" w:color="auto" w:fill="auto"/>
        <w:tabs>
          <w:tab w:val="right" w:pos="8434"/>
          <w:tab w:val="right" w:pos="9538"/>
        </w:tabs>
        <w:spacing w:before="0" w:after="0" w:line="240" w:lineRule="auto"/>
        <w:ind w:left="20"/>
        <w:jc w:val="both"/>
        <w:rPr>
          <w:rFonts w:ascii="Arial" w:hAnsi="Arial" w:cs="Arial"/>
        </w:rPr>
      </w:pPr>
    </w:p>
    <w:sectPr w:rsidR="0092031B" w:rsidRPr="00FA65A9" w:rsidSect="00FA65A9">
      <w:type w:val="continuous"/>
      <w:pgSz w:w="11906" w:h="16838"/>
      <w:pgMar w:top="1135" w:right="768" w:bottom="1135" w:left="1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1B" w:rsidRDefault="0092031B">
      <w:r>
        <w:separator/>
      </w:r>
    </w:p>
  </w:endnote>
  <w:endnote w:type="continuationSeparator" w:id="0">
    <w:p w:rsidR="0092031B" w:rsidRDefault="0092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1B" w:rsidRDefault="0092031B"/>
  </w:footnote>
  <w:footnote w:type="continuationSeparator" w:id="0">
    <w:p w:rsidR="0092031B" w:rsidRDefault="009203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5511"/>
    <w:multiLevelType w:val="multilevel"/>
    <w:tmpl w:val="74BA8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87791E"/>
    <w:rsid w:val="00917E50"/>
    <w:rsid w:val="0092031B"/>
    <w:rsid w:val="00B91EA1"/>
    <w:rsid w:val="00F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4090F-5555-40EF-8951-3BFF8F2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6"/>
      <w:szCs w:val="3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2031B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 w:bidi="ar-SA"/>
    </w:rPr>
  </w:style>
  <w:style w:type="paragraph" w:customStyle="1" w:styleId="ConsPlusTitle">
    <w:name w:val="ConsPlusTitle"/>
    <w:rsid w:val="0092031B"/>
    <w:pPr>
      <w:suppressAutoHyphens/>
      <w:spacing w:line="100" w:lineRule="atLeast"/>
    </w:pPr>
    <w:rPr>
      <w:rFonts w:ascii="Calibri" w:eastAsia="SimSun" w:hAnsi="Calibri" w:cs="Calibri"/>
      <w:b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2</cp:revision>
  <dcterms:created xsi:type="dcterms:W3CDTF">2024-04-17T13:09:00Z</dcterms:created>
  <dcterms:modified xsi:type="dcterms:W3CDTF">2024-04-17T13:31:00Z</dcterms:modified>
</cp:coreProperties>
</file>