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AA" w:rsidRDefault="004A66A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4A66AA" w:rsidRDefault="004A66AA">
      <w:pPr>
        <w:spacing w:after="1" w:line="240" w:lineRule="atLeast"/>
        <w:outlineLvl w:val="0"/>
      </w:pPr>
    </w:p>
    <w:p w:rsidR="004A66AA" w:rsidRDefault="004A66AA">
      <w:pPr>
        <w:spacing w:after="1" w:line="240" w:lineRule="atLeast"/>
        <w:jc w:val="center"/>
        <w:outlineLvl w:val="0"/>
      </w:pPr>
      <w:r>
        <w:rPr>
          <w:b/>
        </w:rPr>
        <w:t>ОРЛОВСКИЙ ГОРОДСКОЙ СОВЕТ НАРОДНЫХ ДЕПУТАТОВ</w:t>
      </w:r>
    </w:p>
    <w:p w:rsidR="004A66AA" w:rsidRDefault="004A66AA">
      <w:pPr>
        <w:spacing w:after="1" w:line="240" w:lineRule="atLeast"/>
        <w:jc w:val="center"/>
      </w:pPr>
    </w:p>
    <w:p w:rsidR="004A66AA" w:rsidRDefault="004A66AA">
      <w:pPr>
        <w:spacing w:after="1" w:line="240" w:lineRule="atLeast"/>
        <w:jc w:val="center"/>
      </w:pPr>
      <w:r>
        <w:rPr>
          <w:b/>
        </w:rPr>
        <w:t>РЕШЕНИЕ</w:t>
      </w:r>
    </w:p>
    <w:p w:rsidR="004A66AA" w:rsidRDefault="004A66AA">
      <w:pPr>
        <w:spacing w:after="1" w:line="240" w:lineRule="atLeast"/>
        <w:jc w:val="center"/>
      </w:pPr>
      <w:r>
        <w:rPr>
          <w:b/>
        </w:rPr>
        <w:t>от 31 мая 2018 г. N 40/0725-ГС</w:t>
      </w:r>
    </w:p>
    <w:p w:rsidR="004A66AA" w:rsidRDefault="004A66AA">
      <w:pPr>
        <w:spacing w:after="1" w:line="240" w:lineRule="atLeast"/>
        <w:jc w:val="center"/>
      </w:pPr>
    </w:p>
    <w:p w:rsidR="004A66AA" w:rsidRDefault="004A66AA">
      <w:pPr>
        <w:spacing w:after="1" w:line="240" w:lineRule="atLeast"/>
        <w:jc w:val="center"/>
      </w:pPr>
      <w:r>
        <w:rPr>
          <w:b/>
        </w:rPr>
        <w:t>ОБ УТВЕРЖДЕНИИ МЕСТНЫХ НОРМАТИВОВ</w:t>
      </w:r>
    </w:p>
    <w:p w:rsidR="004A66AA" w:rsidRDefault="004A66AA">
      <w:pPr>
        <w:spacing w:after="1" w:line="240" w:lineRule="atLeast"/>
        <w:jc w:val="center"/>
      </w:pPr>
      <w:r>
        <w:rPr>
          <w:b/>
        </w:rPr>
        <w:t>ГРАДОСТРОИТЕЛЬНОГО ПРОЕКТИРОВАНИЯ</w:t>
      </w:r>
    </w:p>
    <w:p w:rsidR="004A66AA" w:rsidRDefault="004A66AA">
      <w:pPr>
        <w:spacing w:after="1" w:line="240" w:lineRule="atLeast"/>
        <w:jc w:val="center"/>
      </w:pPr>
      <w:r>
        <w:rPr>
          <w:b/>
        </w:rPr>
        <w:t>МУНИЦИПАЛЬНОГО ОБРАЗОВАНИЯ "ГОРОД ОРЕЛ"</w:t>
      </w:r>
    </w:p>
    <w:p w:rsidR="004A66AA" w:rsidRDefault="004A66AA">
      <w:pPr>
        <w:spacing w:after="1" w:line="240" w:lineRule="atLeast"/>
        <w:jc w:val="center"/>
      </w:pPr>
    </w:p>
    <w:p w:rsidR="004A66AA" w:rsidRDefault="004A66AA">
      <w:pPr>
        <w:spacing w:after="1" w:line="240" w:lineRule="atLeast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Градостроительным</w:t>
        </w:r>
      </w:hyperlink>
      <w:r>
        <w:t xml:space="preserve">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 основании </w:t>
      </w:r>
      <w:hyperlink r:id="rId9" w:history="1">
        <w:r>
          <w:rPr>
            <w:color w:val="0000FF"/>
          </w:rPr>
          <w:t>Устава</w:t>
        </w:r>
      </w:hyperlink>
      <w:r>
        <w:t xml:space="preserve"> города Орла Орловский городской Совет народных депутатов решил: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 xml:space="preserve">1. Утвердить местные </w:t>
      </w:r>
      <w:hyperlink w:anchor="P28" w:history="1">
        <w:r>
          <w:rPr>
            <w:color w:val="0000FF"/>
          </w:rPr>
          <w:t>нормативы</w:t>
        </w:r>
      </w:hyperlink>
      <w:r>
        <w:t xml:space="preserve"> градостроительного проектирования муниципального образования "Город Орел" согласно приложению.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 Настоящее решение вступает в силу с момента его официального опубликования.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</w:pPr>
      <w:r>
        <w:t>Мэр города Орла</w:t>
      </w:r>
    </w:p>
    <w:p w:rsidR="004A66AA" w:rsidRDefault="004A66AA">
      <w:pPr>
        <w:spacing w:after="1" w:line="240" w:lineRule="atLeast"/>
        <w:jc w:val="right"/>
      </w:pPr>
      <w:r>
        <w:t>В.Ф.НОВИКОВ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0"/>
      </w:pPr>
      <w:r>
        <w:t>Приложение</w:t>
      </w:r>
    </w:p>
    <w:p w:rsidR="004A66AA" w:rsidRDefault="004A66AA">
      <w:pPr>
        <w:spacing w:after="1" w:line="240" w:lineRule="atLeast"/>
        <w:jc w:val="right"/>
      </w:pPr>
      <w:r>
        <w:t>к решению</w:t>
      </w:r>
    </w:p>
    <w:p w:rsidR="004A66AA" w:rsidRDefault="004A66AA">
      <w:pPr>
        <w:spacing w:after="1" w:line="240" w:lineRule="atLeast"/>
        <w:jc w:val="right"/>
      </w:pPr>
      <w:r>
        <w:t>Орловского городского</w:t>
      </w:r>
    </w:p>
    <w:p w:rsidR="004A66AA" w:rsidRDefault="004A66AA">
      <w:pPr>
        <w:spacing w:after="1" w:line="240" w:lineRule="atLeast"/>
        <w:jc w:val="right"/>
      </w:pPr>
      <w:r>
        <w:t>Совета народных депутатов</w:t>
      </w:r>
    </w:p>
    <w:p w:rsidR="004A66AA" w:rsidRDefault="004A66AA">
      <w:pPr>
        <w:spacing w:after="1" w:line="240" w:lineRule="atLeast"/>
        <w:jc w:val="right"/>
      </w:pPr>
      <w:r>
        <w:t>от 31 мая 2018 г. N 40/0725-ГС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center"/>
      </w:pPr>
      <w:bookmarkStart w:id="0" w:name="P28"/>
      <w:bookmarkEnd w:id="0"/>
      <w:r>
        <w:rPr>
          <w:b/>
        </w:rPr>
        <w:t>МЕСТНЫЕ НОРМАТИВЫ</w:t>
      </w:r>
    </w:p>
    <w:p w:rsidR="004A66AA" w:rsidRDefault="004A66AA">
      <w:pPr>
        <w:spacing w:after="1" w:line="240" w:lineRule="atLeast"/>
        <w:jc w:val="center"/>
      </w:pPr>
      <w:r>
        <w:rPr>
          <w:b/>
        </w:rPr>
        <w:t>ГРАДОСТРОИТЕЛЬНОГО ПРОЕКТИРОВАНИЯ</w:t>
      </w:r>
    </w:p>
    <w:p w:rsidR="004A66AA" w:rsidRDefault="004A66AA">
      <w:pPr>
        <w:spacing w:after="1" w:line="240" w:lineRule="atLeast"/>
        <w:jc w:val="center"/>
      </w:pPr>
      <w:r>
        <w:rPr>
          <w:b/>
        </w:rPr>
        <w:t>МУНИЦИПАЛЬНОГО ОБРАЗОВАНИЯ "ГОРОД ОРЕЛ"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1"/>
      </w:pPr>
      <w:r>
        <w:t>Раздел 1. Основная часть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center"/>
        <w:outlineLvl w:val="2"/>
      </w:pPr>
      <w:r>
        <w:t>Общие положения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Настоящие местные нормативы градостроительного проектирования городского округа "Город Орел" разработаны в целях реализации полномочий органов местного самоуправления городского округа "Город Орел" в сфере градостроительной деятельности.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градостроительного проектирования городского округа "Город Орел" разработаны в соответствии с законодательством Российской Федерации и Орловской области, нормативно-правовыми и нормативно-техническими документами.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lastRenderedPageBreak/>
        <w:t>Местные нормативы градостроительного проектирования городского округа "Город Орел" направлены на конкретизацию и развитие норм действующего федерального и регионального законодательства в сфере градостроительной деятельности, на повышение благоприятных условий жизни населения городского округа "Город Орел", на устойчивое развитие территории городского округа "Город Орел" с учетом социально-экономических, территориальных и иных особенностей.</w:t>
      </w:r>
      <w:proofErr w:type="gramEnd"/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градостроительного проектирования городского округа "Город Орел" включают в себя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городского округа "Город Орел", относящимися к следующим областям: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электро-, тепл</w:t>
      </w:r>
      <w:proofErr w:type="gramStart"/>
      <w:r>
        <w:t>о-</w:t>
      </w:r>
      <w:proofErr w:type="gramEnd"/>
      <w:r>
        <w:t>, газо- и водоснабжение населения, водоотведение;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автомобильные дороги местного значения;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иные области в связи с решением вопросов местного значения городского округа;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объектами благоустройства территории;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иными объектами местного значения городского округа "Город Орел".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1.1. Расчетные показатели по объектам, относящимся к областям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Предельные значения расчетных показателей минимально допустимого уровня обеспеченности объектами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водоотведения: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1.1.1. Расчетные показатели объектов, относящихся к области электроснабжения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1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7"/>
        <w:gridCol w:w="1417"/>
        <w:gridCol w:w="1361"/>
        <w:gridCol w:w="1417"/>
        <w:gridCol w:w="1247"/>
      </w:tblGrid>
      <w:tr w:rsidR="004A66AA">
        <w:tc>
          <w:tcPr>
            <w:tcW w:w="56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 (наименование ресурса) &lt;1)&gt;</w:t>
            </w:r>
          </w:p>
        </w:tc>
        <w:tc>
          <w:tcPr>
            <w:tcW w:w="277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67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67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Электроэнергия, электропотребление &lt;2)&gt;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>/год на 1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2640</w:t>
            </w:r>
          </w:p>
        </w:tc>
        <w:tc>
          <w:tcPr>
            <w:tcW w:w="2664" w:type="dxa"/>
            <w:gridSpan w:val="2"/>
            <w:vMerge w:val="restart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67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Электроэнергия, использование максимума электрической нагрузки &lt;2)&gt;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ч</w:t>
            </w:r>
            <w:proofErr w:type="gramEnd"/>
            <w:r>
              <w:t>/год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7524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67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Электрические нагрузки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кВт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-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--------------------------------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&lt;1)&gt;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&lt;2)&gt;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1.1.2. Расчетные показатели объектов, относящихся к области тепло-, газоснабжения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2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 (Наименование ресурса) &lt;1)&gt;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Природный газ при наличии централизованного горячего водоснабжения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120</w:t>
            </w:r>
          </w:p>
        </w:tc>
        <w:tc>
          <w:tcPr>
            <w:tcW w:w="2664" w:type="dxa"/>
            <w:gridSpan w:val="2"/>
            <w:vMerge w:val="restart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Природный газ при горячем водоснабжении от газовых водонагревателей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300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Природный газ при отсутствии всяких видов горячего водоснабжения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180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Тепловая нагрузка расход газа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Гкал, куб. м/чел.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-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--------------------------------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&lt;1)&gt;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1.1.3. Расчетные показатели объектов, относящихся к области водоснабжения населения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3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 xml:space="preserve">N 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 (наименование ресурса) &lt;1)&gt;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Водоснабжение, зона застройки многоквартирными (мало-, средне- и многоэтажными) жилыми домами с местными водонагревателями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жителя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210 &lt;2)&gt;</w:t>
            </w:r>
          </w:p>
        </w:tc>
        <w:tc>
          <w:tcPr>
            <w:tcW w:w="2664" w:type="dxa"/>
            <w:gridSpan w:val="2"/>
            <w:vMerge w:val="restart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То же с централизованным горячим водоснабжением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жителя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250 &lt;2)&gt;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Водоснабжение, зона застройки индивидуальными жилыми домами с местными водонагревателями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жителя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210 &lt;2)&gt;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То же с централизованным горячим водоснабжением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жителя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250 &lt;2)&gt;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Гостиницы, пансионаты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место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230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Санатории и дома отдыха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л</w:t>
            </w:r>
            <w:proofErr w:type="gramEnd"/>
            <w:r>
              <w:t>/сут. на 1 место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150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--------------------------------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&lt;1)&gt;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&lt;2)&gt; указанные нормы следует применять с учетом требований табл. 1 СП 31.13330.2012.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1.1.4. Расчетные показатели объектов, относящихся к области водоотведения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4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 (наименование ресурса) &lt;1)&gt;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1.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Бытовая канализация, зона застройки многоквартирными жилыми домами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% от водопотребления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2664" w:type="dxa"/>
            <w:gridSpan w:val="2"/>
            <w:vMerge w:val="restart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2.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Бытовая канализация, зона застройки индивидуальными жилыми домами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% от водопотребления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3.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Дождевая канализация. Суточный объем поверхностного стока, поступающий на очистные сооружения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/сут. с 1 га территории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50</w:t>
            </w:r>
          </w:p>
        </w:tc>
        <w:tc>
          <w:tcPr>
            <w:tcW w:w="2664" w:type="dxa"/>
            <w:gridSpan w:val="2"/>
            <w:vMerge/>
          </w:tcPr>
          <w:p w:rsidR="004A66AA" w:rsidRDefault="004A66AA"/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--------------------------------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&lt;1)&gt;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1.2. Расчетные показатели в отношении автомобильных дорог местного значения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1.2.1. Расчетные показатели в отношении автомобильных дорог местного значения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5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11"/>
        <w:gridCol w:w="2324"/>
        <w:gridCol w:w="1928"/>
      </w:tblGrid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расчетного показателя, единица измерения</w:t>
            </w:r>
          </w:p>
        </w:tc>
        <w:tc>
          <w:tcPr>
            <w:tcW w:w="425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Предельное значение расчетного показателя максимально допустимого уровня территориальной доступности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  <w:r>
              <w:t>Автомобильные дороги местного значения в границах города</w:t>
            </w: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  <w:r>
              <w:t xml:space="preserve">Дальность пешеходных подходов до ближайшей остановки общественного пассажирского транспорта, </w:t>
            </w:r>
            <w:proofErr w:type="gramStart"/>
            <w:r>
              <w:t>м</w:t>
            </w:r>
            <w:proofErr w:type="gramEnd"/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городе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общегородском центре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Не более 250 от объектов массового посещения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 xml:space="preserve">В районах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До 600 м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Улично-дорожная сеть города</w:t>
            </w: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  <w:r>
              <w:t xml:space="preserve">Плотность, </w:t>
            </w:r>
            <w:proofErr w:type="gramStart"/>
            <w:r>
              <w:t>км</w:t>
            </w:r>
            <w:proofErr w:type="gramEnd"/>
            <w:r>
              <w:t>/кв. км</w:t>
            </w: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среднем по городу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4,0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общегородском центре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8,0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  <w:r>
              <w:t>Магистральные улицы и дороги с регулируемым движением</w:t>
            </w: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  <w:r>
              <w:t xml:space="preserve">Плотность, </w:t>
            </w:r>
            <w:proofErr w:type="gramStart"/>
            <w:r>
              <w:t>км</w:t>
            </w:r>
            <w:proofErr w:type="gramEnd"/>
            <w:r>
              <w:t>/кв. км</w:t>
            </w: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среднем по городу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2,5</w:t>
            </w:r>
          </w:p>
        </w:tc>
      </w:tr>
      <w:tr w:rsidR="004A66AA">
        <w:tc>
          <w:tcPr>
            <w:tcW w:w="2551" w:type="dxa"/>
          </w:tcPr>
          <w:p w:rsidR="004A66AA" w:rsidRDefault="004A66AA">
            <w:pPr>
              <w:spacing w:after="1" w:line="240" w:lineRule="atLeast"/>
            </w:pPr>
            <w:r>
              <w:t>Магистральные дороги скоростного движения и магистральные улицы общегородского значения непрерывного движения</w:t>
            </w:r>
          </w:p>
        </w:tc>
        <w:tc>
          <w:tcPr>
            <w:tcW w:w="2211" w:type="dxa"/>
          </w:tcPr>
          <w:p w:rsidR="004A66AA" w:rsidRDefault="004A66AA">
            <w:pPr>
              <w:spacing w:after="1" w:line="240" w:lineRule="atLeast"/>
            </w:pPr>
            <w:r>
              <w:t xml:space="preserve">Плотность, </w:t>
            </w:r>
            <w:proofErr w:type="gramStart"/>
            <w:r>
              <w:t>км</w:t>
            </w:r>
            <w:proofErr w:type="gramEnd"/>
            <w:r>
              <w:t>/кв. км</w:t>
            </w:r>
          </w:p>
        </w:tc>
        <w:tc>
          <w:tcPr>
            <w:tcW w:w="2324" w:type="dxa"/>
          </w:tcPr>
          <w:p w:rsidR="004A66AA" w:rsidRDefault="004A66AA">
            <w:pPr>
              <w:spacing w:after="1" w:line="240" w:lineRule="atLeast"/>
            </w:pPr>
            <w:r>
              <w:t>В среднем по городу</w:t>
            </w:r>
          </w:p>
        </w:tc>
        <w:tc>
          <w:tcPr>
            <w:tcW w:w="1928" w:type="dxa"/>
          </w:tcPr>
          <w:p w:rsidR="004A66AA" w:rsidRDefault="004A66AA">
            <w:pPr>
              <w:spacing w:after="1" w:line="240" w:lineRule="atLeast"/>
            </w:pPr>
            <w:r>
              <w:t>0,4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1.2.2. Нормативы обеспеченности объектами для хранения и обслуживания транспортных средств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Требуемое расчетное количество машино-мест для парковки легковых автомобилей на стоянках у общественных зданий, учреждений, предприятий, вокзалов, на рекреационных территориях определяется в соответствии с </w:t>
      </w:r>
      <w:hyperlink w:anchor="P230" w:history="1">
        <w:r>
          <w:rPr>
            <w:color w:val="0000FF"/>
          </w:rPr>
          <w:t>таблицей 6</w:t>
        </w:r>
      </w:hyperlink>
      <w:r>
        <w:t>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Приобъектные стоянки дошкольных учреждений и школ проектируются </w:t>
      </w:r>
      <w:proofErr w:type="gramStart"/>
      <w:r>
        <w:t>вне территории на расстоянии от границ участка в соответствии с требованиями</w:t>
      </w:r>
      <w:proofErr w:type="gramEnd"/>
      <w:r>
        <w:t xml:space="preserve"> </w:t>
      </w:r>
      <w:hyperlink w:anchor="P230" w:history="1">
        <w:r>
          <w:rPr>
            <w:color w:val="0000FF"/>
          </w:rPr>
          <w:t>таблицы 6</w:t>
        </w:r>
      </w:hyperlink>
      <w:r>
        <w:t>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машино-мест по каждому объекту в отдельности на 10 - 15%.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 зонах жилой застройки следует предусматривать стоянки для хранения легкового автотранспорта населения при пешеходной доступности не более 800 м, а в районах реконструкции - не более 1000 м.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6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126"/>
        <w:gridCol w:w="1531"/>
      </w:tblGrid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  <w:jc w:val="center"/>
            </w:pPr>
            <w:bookmarkStart w:id="1" w:name="P230"/>
            <w:bookmarkEnd w:id="1"/>
            <w:r>
              <w:t>Здания, сооружения и иные объекты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Расчетная единица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Число машино-мест на расчетную единицу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3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Дома для престарелых и семей с инвалидами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20 проживающих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Общежития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 проживающих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Коллективные садоводства, дачные кооперативы и товарищества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Дачи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Гостиницы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  <w:vMerge w:val="restart"/>
          </w:tcPr>
          <w:p w:rsidR="004A66AA" w:rsidRDefault="004A66AA">
            <w:pPr>
              <w:spacing w:after="1" w:line="240" w:lineRule="atLeast"/>
            </w:pPr>
            <w:r>
              <w:t>ДДУ и средние школы общего типа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2 работника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  <w:vMerge/>
          </w:tcPr>
          <w:p w:rsidR="004A66AA" w:rsidRDefault="004A66AA"/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группа ДДУ, класс школы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Учреждения с круглосуточным пребыванием детей (интернаты)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2 работника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Учреждения среднего специального и высшего образования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работников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Объекты торговли и бытового обслуживания без обслуживания вне полностью закрытого здания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 кв. м торговой площади</w:t>
            </w:r>
          </w:p>
        </w:tc>
        <w:tc>
          <w:tcPr>
            <w:tcW w:w="1531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7</w:t>
            </w:r>
          </w:p>
        </w:tc>
      </w:tr>
      <w:tr w:rsidR="004A66AA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Объекты общественного питания без обслуживания вне полностью закрытого здания</w:t>
            </w:r>
          </w:p>
        </w:tc>
        <w:tc>
          <w:tcPr>
            <w:tcW w:w="2126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Объекты торговли и бытового обслуживания с обслуживанием вне полностью закрытого здания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50 торговых мест</w:t>
            </w:r>
          </w:p>
        </w:tc>
        <w:tc>
          <w:tcPr>
            <w:tcW w:w="1531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25</w:t>
            </w:r>
          </w:p>
        </w:tc>
      </w:tr>
      <w:tr w:rsidR="004A66AA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Объекты общественного питания без обслуживания вне полностью закрытого здания</w:t>
            </w:r>
          </w:p>
        </w:tc>
        <w:tc>
          <w:tcPr>
            <w:tcW w:w="2126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  <w:vMerge w:val="restart"/>
          </w:tcPr>
          <w:p w:rsidR="004A66AA" w:rsidRDefault="004A66AA">
            <w:pPr>
              <w:spacing w:after="1" w:line="240" w:lineRule="atLeast"/>
            </w:pPr>
            <w:r>
              <w:t>Объекты с особым (вечерним, ночным и/или круглосуточным) режимом работы: ночные бары, рестораны, магазины "24 часа"</w:t>
            </w:r>
          </w:p>
        </w:tc>
        <w:tc>
          <w:tcPr>
            <w:tcW w:w="2126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 кв. м торговой площади</w:t>
            </w:r>
          </w:p>
        </w:tc>
        <w:tc>
          <w:tcPr>
            <w:tcW w:w="1531" w:type="dxa"/>
            <w:tcBorders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7</w:t>
            </w:r>
          </w:p>
        </w:tc>
      </w:tr>
      <w:tr w:rsidR="004A66AA">
        <w:tc>
          <w:tcPr>
            <w:tcW w:w="5386" w:type="dxa"/>
            <w:vMerge/>
          </w:tcPr>
          <w:p w:rsidR="004A66AA" w:rsidRDefault="004A66AA"/>
        </w:tc>
        <w:tc>
          <w:tcPr>
            <w:tcW w:w="2126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  <w:tcBorders>
              <w:top w:val="nil"/>
            </w:tcBorders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Библиотеки, клубы, детские и взрослые, музыкальные, художественные, хореографические школы и студии, дома творчества (исключая ночные заведения)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Зрелищные объекты: театры, кинотеатры, видеозалы, цирки, планетарии, концертные залы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Музеи, выставочные залы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посетителей (расчетная емкость объекта)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Специальные парки (зоопарки, ботанические сады)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посетителей (расчетная емкость объекта)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Теле</w:t>
            </w:r>
            <w:proofErr w:type="gramEnd"/>
            <w:r>
              <w:t>- и радиостудии, киностудии, студии звукозаписи, редакции газет и журналов, издательств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работающих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 xml:space="preserve">Развлекательные центры, ночные клубы, </w:t>
            </w:r>
            <w:r>
              <w:lastRenderedPageBreak/>
              <w:t>дискотеки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Комплексы аттракционов, луна-парки, аквапарки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Объекты отдыха и туризма (базы и дома отдыха, пансионаты, туристические базы, детские лагеря отдыха, детские дачи, мотели, кемпинги)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Комплексы для занятий физкультурой и спортом с местами для зрителей (стадионы, спортивные комплексы), крытые спортивно-зрелищные комплексы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зрительских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</w:tr>
      <w:tr w:rsidR="004A66AA">
        <w:tc>
          <w:tcPr>
            <w:tcW w:w="5386" w:type="dxa"/>
            <w:vMerge w:val="restart"/>
          </w:tcPr>
          <w:p w:rsidR="004A66AA" w:rsidRDefault="004A66AA">
            <w:pPr>
              <w:spacing w:after="1" w:line="240" w:lineRule="atLeast"/>
            </w:pPr>
            <w:r>
              <w:t>Спортивные комплексы со специальными требованиями к размещению (автодромы, вело- и мототреки, стрельбища, конноспортивные клубы, манежи для верховой езды, ипподромы)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в закрытых помещениях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  <w:vMerge/>
          </w:tcPr>
          <w:p w:rsidR="004A66AA" w:rsidRDefault="004A66AA"/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 зрительских 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Больницы и клиники, родильные дома, стационары при медицинских институтах, госпитали, специализированные медицинские центры и медсанчасти, хосписы и иные больничные учреждения со специальными требованиями к размещению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коек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Поликлиники, амбулаторные учреждения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посещений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Амбулаторно-поликлинические учреждения:</w:t>
            </w:r>
          </w:p>
          <w:p w:rsidR="004A66AA" w:rsidRDefault="004A66AA">
            <w:pPr>
              <w:spacing w:after="1" w:line="240" w:lineRule="atLeast"/>
            </w:pPr>
            <w:r>
              <w:t>Территориальные поликлиники для детей и взрослых, специализированные поликлиники, диспансеры, пункты первой медицинской помощи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посещений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Санитарно-эпидемиологические станции, дезинфекционные станции, судебно-медицинская экспертиза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Объекты социального обеспечения: дома-интернаты для престарелых, инвалидов и детей, приюты, ночлежные дома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20 койко-мест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Жилищно-эксплуатационные службы: РЭУ, ПРЭО, аварийные службы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Ветеринарные поликлиники и станции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Государственные, административные, общественные организации и учреждения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работающих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Общественные объединения и организации, творческие союзы, международные организации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 xml:space="preserve">Государственные и муниципальные учреждения, </w:t>
            </w:r>
            <w:r>
              <w:lastRenderedPageBreak/>
              <w:t>рассчитанные на обслуживание населения: ЗАГСы, дворцы бракосочетания, архивы, информационные центры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100 работающих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Отделения связи, почтовые отделения, телефонные и телеграфные пункты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30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Банки, учреждения кредитования, страхования,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30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Научно-исследовательские, проектные, конструкторские организации, компьютерные центры, залы компьютерных игр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работающих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Научные и опытные станции, метеорологические станции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30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Производственные предприятия, производственные базы строительных, коммунальных, транспортных и других предприятий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5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Склады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Электростанции, теплоэлектроцентрали, котельные большой мощности и газораспределительные станции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Газохранилища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АТС, районные узлы связи, телефонные станции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Водопроводные сооружения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Канализационные сооружения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Передающие и принимающие станции радио- и телевещания, связи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 xml:space="preserve">Обслуживание автотранспорта (мастерские </w:t>
            </w:r>
            <w:r>
              <w:lastRenderedPageBreak/>
              <w:t>автосервиса, станции технического обслуживания, АЗС, автомобильные мойки)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 xml:space="preserve">10 работников в </w:t>
            </w:r>
            <w:r>
              <w:lastRenderedPageBreak/>
              <w:t>максимальную смену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Вокзалы и станции, аэропорты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100 пассажиров, прибывающих в час пик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Агентства по обслуживанию пассажиров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60 кв. м общей площади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  <w:tr w:rsidR="004A66AA">
        <w:tc>
          <w:tcPr>
            <w:tcW w:w="5386" w:type="dxa"/>
          </w:tcPr>
          <w:p w:rsidR="004A66AA" w:rsidRDefault="004A66AA">
            <w:pPr>
              <w:spacing w:after="1" w:line="240" w:lineRule="atLeast"/>
            </w:pPr>
            <w:r>
              <w:t>Объекты сельского хозяйства</w:t>
            </w:r>
          </w:p>
        </w:tc>
        <w:tc>
          <w:tcPr>
            <w:tcW w:w="2126" w:type="dxa"/>
          </w:tcPr>
          <w:p w:rsidR="004A66AA" w:rsidRDefault="004A66AA">
            <w:pPr>
              <w:spacing w:after="1" w:line="240" w:lineRule="atLeast"/>
            </w:pPr>
            <w:r>
              <w:t>6 работников в максимальной смене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 xml:space="preserve">Автостоянки ведомственных автомобилей и легковых автомобилей специального назначения, грузовых автомобилей, такси и проката, автобусные и троллейбусные парки,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зонах, принимая размеры их земельных участков согласно рекомендуемым нормам </w:t>
      </w:r>
      <w:hyperlink w:anchor="P395" w:history="1">
        <w:r>
          <w:rPr>
            <w:color w:val="0000FF"/>
          </w:rPr>
          <w:t>таблицы 7</w:t>
        </w:r>
      </w:hyperlink>
      <w:r>
        <w:t>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7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1560"/>
        <w:gridCol w:w="1587"/>
        <w:gridCol w:w="1531"/>
      </w:tblGrid>
      <w:tr w:rsidR="004A66AA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  <w:jc w:val="center"/>
            </w:pPr>
            <w:bookmarkStart w:id="2" w:name="P395"/>
            <w:bookmarkEnd w:id="2"/>
            <w:r>
              <w:t>Объекты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  <w:jc w:val="center"/>
            </w:pPr>
            <w:r>
              <w:t>Расчетная Единица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  <w:jc w:val="center"/>
            </w:pPr>
            <w:r>
              <w:t>Вместимость объекта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Площадь участка на объект, </w:t>
            </w:r>
            <w:proofErr w:type="gramStart"/>
            <w:r>
              <w:t>га</w:t>
            </w:r>
            <w:proofErr w:type="gramEnd"/>
          </w:p>
        </w:tc>
      </w:tr>
      <w:tr w:rsidR="004A66AA">
        <w:tc>
          <w:tcPr>
            <w:tcW w:w="4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Многоэтажные стоянки для легковых таксомоторов и базы проката легковых автомобилей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таксомотор, автомобиль проката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0,5</w:t>
            </w:r>
          </w:p>
        </w:tc>
      </w:tr>
      <w:tr w:rsidR="004A66AA">
        <w:tblPrEx>
          <w:tblBorders>
            <w:insideH w:val="none" w:sz="0" w:space="0" w:color="auto"/>
          </w:tblBorders>
        </w:tblPrEx>
        <w:tc>
          <w:tcPr>
            <w:tcW w:w="4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87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1,2</w:t>
            </w:r>
          </w:p>
        </w:tc>
      </w:tr>
      <w:tr w:rsidR="004A66AA">
        <w:tc>
          <w:tcPr>
            <w:tcW w:w="4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1,6</w:t>
            </w:r>
          </w:p>
        </w:tc>
      </w:tr>
      <w:tr w:rsidR="004A66AA">
        <w:tc>
          <w:tcPr>
            <w:tcW w:w="4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Стоянки грузовых автомобилей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автомобиль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</w:tr>
      <w:tr w:rsidR="004A66AA">
        <w:tc>
          <w:tcPr>
            <w:tcW w:w="4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3,5</w:t>
            </w:r>
          </w:p>
        </w:tc>
      </w:tr>
      <w:tr w:rsidR="004A66AA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- Троллейбусные парки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машина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3,5</w:t>
            </w:r>
          </w:p>
        </w:tc>
      </w:tr>
      <w:tr w:rsidR="004A66AA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- без ремонтных мастерских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  <w:jc w:val="both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</w:tr>
      <w:tr w:rsidR="004A66AA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- с ремонтными мастерскими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машина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</w:tr>
      <w:tr w:rsidR="004A66AA">
        <w:tc>
          <w:tcPr>
            <w:tcW w:w="4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Автобусные парки (стоянки)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машина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A66AA" w:rsidRDefault="004A66AA">
            <w:pPr>
              <w:spacing w:after="1" w:line="240" w:lineRule="atLeast"/>
            </w:pPr>
            <w:r>
              <w:t>2,3</w:t>
            </w:r>
          </w:p>
        </w:tc>
      </w:tr>
      <w:tr w:rsidR="004A66AA">
        <w:tblPrEx>
          <w:tblBorders>
            <w:insideH w:val="none" w:sz="0" w:space="0" w:color="auto"/>
          </w:tblBorders>
        </w:tblPrEx>
        <w:tc>
          <w:tcPr>
            <w:tcW w:w="4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66AA" w:rsidRDefault="004A66AA"/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A66AA" w:rsidRDefault="004A66AA">
            <w:pPr>
              <w:spacing w:after="1" w:line="240" w:lineRule="atLeast"/>
            </w:pPr>
            <w:r>
              <w:t>3,5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1.2.3. Расчетные показатели в отношении объектов дорожного сервиса, кроме предназначенных для предоставления транспортных услуг населению и организации транспортного обслуживания населения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8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Объекты по техническому обслуживанию автомобилей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пост/200 автомобилей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Автозаправочные станции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объект/1000 автомобилей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1.2.4. Расчетные показатели в отношении объектов, предназначенных для предоставления транспортных услуг населению и организации транспортного обслуживания населения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Расстояния между остановочными пунктами общественного пассажирского транспорта (автобуса, троллейбуса) в пределах города следует принимать 400 - 600 м, в пределах центрального ядра города - 300 м.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9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  <w:jc w:val="center"/>
            </w:pP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  <w:jc w:val="center"/>
            </w:pP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Остановки общественного городского транспорта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Станции технического обслуживания городского пассажирского транспорта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единиц/транспортное предприятие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Транспортно-эксплуатационные предприятия городского транспорта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единиц/вид транспорта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1.3. Расчетные показатели в отношении объектов, относящихся к области физической культуры и массового спорта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10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>Наименование объекта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 xml:space="preserve">Максимально </w:t>
            </w:r>
            <w:r>
              <w:lastRenderedPageBreak/>
              <w:t>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907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физической культуры и массового спорта микрорайонного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Спортивно-тренировочные залы повседневного обслуживания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лощади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70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Территория плоскостных спортивных сооружений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0,1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907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физической культуры и массового спорта районного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Спортивный зал общего пользования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площади пола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60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Бассейн крытый (открытый) общего пользования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зеркала воды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20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Территория плоскостных спортивных сооружений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0,25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907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физической культуры и массового спорта городского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Территория плоскостных спортивных сооружений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1000 чел.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0,35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минут трансп. доступности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1.4. Расчетные показатели в отношении объектов, относящихся к области образования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1.4.1. Расчетные показатели в отношении объектов дошкольных образовательных организаций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11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 xml:space="preserve">Дошкольная образовательная </w:t>
            </w:r>
            <w:r>
              <w:lastRenderedPageBreak/>
              <w:t>организация общего типа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мест на 1000 жителей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42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300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Примечания: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 районах малоэтажной застройки (застройки домами высотой до 3 этажей включительно) максимально допустимый уровень территориальной доступности детских дошкольных учреждений общего типа составляет 500 м.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1.4.2. Расчетные показатели в отношении объектов общеобразовательных организаций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12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37"/>
        <w:gridCol w:w="1499"/>
        <w:gridCol w:w="1361"/>
        <w:gridCol w:w="1417"/>
        <w:gridCol w:w="124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3037" w:type="dxa"/>
            <w:vMerge/>
          </w:tcPr>
          <w:p w:rsidR="004A66AA" w:rsidRDefault="004A66AA"/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Общеобразовательная организация (школа, лицей, гимназия)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учащихся на 1000 жителей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109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Межшкольный учебно-производственный комбинат</w:t>
            </w:r>
          </w:p>
        </w:tc>
        <w:tc>
          <w:tcPr>
            <w:tcW w:w="1499" w:type="dxa"/>
          </w:tcPr>
          <w:p w:rsidR="004A66AA" w:rsidRDefault="004A66AA">
            <w:pPr>
              <w:spacing w:after="1" w:line="240" w:lineRule="atLeast"/>
            </w:pPr>
            <w:r>
              <w:t>% от численности школьников</w:t>
            </w:r>
          </w:p>
        </w:tc>
        <w:tc>
          <w:tcPr>
            <w:tcW w:w="1361" w:type="dxa"/>
          </w:tcPr>
          <w:p w:rsidR="004A66AA" w:rsidRDefault="004A66AA">
            <w:pPr>
              <w:spacing w:after="1" w:line="240" w:lineRule="atLeast"/>
            </w:pPr>
            <w:r>
              <w:t>8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Общеобразовательная организация, имеющая интернат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проектирование, но не менее 1,8 места на 1000 жителей</w:t>
            </w:r>
          </w:p>
        </w:tc>
        <w:tc>
          <w:tcPr>
            <w:tcW w:w="2664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3037" w:type="dxa"/>
          </w:tcPr>
          <w:p w:rsidR="004A66AA" w:rsidRDefault="004A66AA">
            <w:pPr>
              <w:spacing w:after="1" w:line="240" w:lineRule="atLeast"/>
            </w:pPr>
            <w:r>
              <w:t>Среднее специальное учебное заведение</w:t>
            </w:r>
          </w:p>
        </w:tc>
        <w:tc>
          <w:tcPr>
            <w:tcW w:w="2860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проектирование, но не менее 16 мест на 1000 жителей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</w:pPr>
            <w:r>
              <w:t>минут трансп. доступности</w:t>
            </w:r>
          </w:p>
        </w:tc>
        <w:tc>
          <w:tcPr>
            <w:tcW w:w="1247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Примечания: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Для общеобразовательных учреждений, расположенных в районах малоэтажной застройки, максимально допустимый уровень территориальной доступности составляет 750 м.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1.5. Расчетные показатели в отношении объектов, относящихся к области здравоохранения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13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ectPr w:rsidR="004A66AA" w:rsidSect="000D6B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2438"/>
        <w:gridCol w:w="1814"/>
        <w:gridCol w:w="1587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91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40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2381" w:type="dxa"/>
            <w:vMerge/>
          </w:tcPr>
          <w:p w:rsidR="004A66AA" w:rsidRDefault="004A66AA"/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Стационары всех типов с вспомогательными зданиями и сооружениями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коек на 1000 жителей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проектирование, определяемому органами здравоохранения, но не менее 13,47. В том числе:</w:t>
            </w:r>
          </w:p>
          <w:p w:rsidR="004A66AA" w:rsidRDefault="004A66AA">
            <w:pPr>
              <w:spacing w:after="1" w:line="240" w:lineRule="atLeast"/>
            </w:pPr>
            <w:r>
              <w:t>- больничных - 10,2;</w:t>
            </w:r>
          </w:p>
          <w:p w:rsidR="004A66AA" w:rsidRDefault="004A66AA">
            <w:pPr>
              <w:spacing w:after="1" w:line="240" w:lineRule="atLeast"/>
            </w:pPr>
            <w:r>
              <w:t>- полустационарных - 1,42;</w:t>
            </w:r>
          </w:p>
          <w:p w:rsidR="004A66AA" w:rsidRDefault="004A66AA">
            <w:pPr>
              <w:spacing w:after="1" w:line="240" w:lineRule="atLeast"/>
            </w:pPr>
            <w:r>
              <w:t>- в домах сестринского ухода - 1,8;</w:t>
            </w:r>
          </w:p>
          <w:p w:rsidR="004A66AA" w:rsidRDefault="004A66AA">
            <w:pPr>
              <w:spacing w:after="1" w:line="240" w:lineRule="atLeast"/>
            </w:pPr>
            <w:r>
              <w:t xml:space="preserve">- </w:t>
            </w:r>
            <w:proofErr w:type="gramStart"/>
            <w:r>
              <w:t>хосписах</w:t>
            </w:r>
            <w:proofErr w:type="gramEnd"/>
            <w:r>
              <w:t xml:space="preserve"> - 0,05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Поликлиника, амбулатория, диспансер без стационара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посещение в смену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18,15 на 1 тыс. чел.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Консультативно-диагностический центр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</w:t>
            </w:r>
          </w:p>
        </w:tc>
        <w:tc>
          <w:tcPr>
            <w:tcW w:w="3401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 xml:space="preserve">Станция (подстанция) скорой медицинской </w:t>
            </w:r>
            <w:r>
              <w:lastRenderedPageBreak/>
              <w:t>помощи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Автомобиль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10 тыс. чел.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 xml:space="preserve">мин. транспортной доступности </w:t>
            </w:r>
            <w:r>
              <w:lastRenderedPageBreak/>
              <w:t>(автомобиля до пациента)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15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5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Аптека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10 тыс. жителей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500 (800 при малоэтажной застройке)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Молочная кухня (для детей до 1 года)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порция в сутки на 1 ребенка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4 на 1 тыс. чел.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7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Раздаточный пункт молочной кухни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 на 1 ребенка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0,3 на 1 тыс. чел.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8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Центр социального обслуживания пенсионеров и инвалидов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1 центр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городской округ или по заданию на проектирование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9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Центр социальной помощи семье и детям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1 центр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городской округ или по заданию на проектирование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1 объект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проектирование, но не менее 1 на 10 тыс. детей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11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Отделения социальной помощи на дому для граждан пенсионного возраста и инвалидов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1 объект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120 человек данной категории граждан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12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Дома ночного пребывания, социальные приюты, центры социальной адаптации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1 объект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1 на городской округ, городское поселение или по заданию на проектирование</w:t>
            </w:r>
          </w:p>
        </w:tc>
        <w:tc>
          <w:tcPr>
            <w:tcW w:w="1814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13</w:t>
            </w:r>
          </w:p>
        </w:tc>
        <w:tc>
          <w:tcPr>
            <w:tcW w:w="2381" w:type="dxa"/>
          </w:tcPr>
          <w:p w:rsidR="004A66AA" w:rsidRDefault="004A66AA">
            <w:pPr>
              <w:spacing w:after="1" w:line="240" w:lineRule="atLeast"/>
            </w:pPr>
            <w:r>
              <w:t>Санаторно-курортное учреждение</w:t>
            </w:r>
          </w:p>
        </w:tc>
        <w:tc>
          <w:tcPr>
            <w:tcW w:w="1474" w:type="dxa"/>
          </w:tcPr>
          <w:p w:rsidR="004A66AA" w:rsidRDefault="004A66AA">
            <w:pPr>
              <w:spacing w:after="1" w:line="240" w:lineRule="atLeast"/>
            </w:pPr>
            <w:r>
              <w:t>место</w:t>
            </w:r>
          </w:p>
        </w:tc>
        <w:tc>
          <w:tcPr>
            <w:tcW w:w="2438" w:type="dxa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</w:t>
            </w:r>
          </w:p>
        </w:tc>
        <w:tc>
          <w:tcPr>
            <w:tcW w:w="3401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</w:tbl>
    <w:p w:rsidR="004A66AA" w:rsidRDefault="004A66AA">
      <w:pPr>
        <w:sectPr w:rsidR="004A66A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1.6. Расчетные показатели в отношении объектов, относящихся к области сбора, вывоза, обработки, утилизации, обезвреживания, размещения твердых коммунальных отходов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1.6.1. Расчетные показатели в отношении предприятий по сбору, хранению и транспортировке отходов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14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644"/>
        <w:gridCol w:w="1020"/>
        <w:gridCol w:w="1191"/>
        <w:gridCol w:w="1587"/>
        <w:gridCol w:w="1531"/>
      </w:tblGrid>
      <w:tr w:rsidR="004A66AA">
        <w:tc>
          <w:tcPr>
            <w:tcW w:w="2098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 (наименование услуги)</w:t>
            </w:r>
          </w:p>
        </w:tc>
        <w:tc>
          <w:tcPr>
            <w:tcW w:w="3855" w:type="dxa"/>
            <w:gridSpan w:val="3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2098" w:type="dxa"/>
            <w:vMerge/>
          </w:tcPr>
          <w:p w:rsidR="004A66AA" w:rsidRDefault="004A66AA"/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2098" w:type="dxa"/>
            <w:vMerge w:val="restart"/>
          </w:tcPr>
          <w:p w:rsidR="004A66AA" w:rsidRDefault="004A66AA">
            <w:pPr>
              <w:spacing w:after="1" w:line="240" w:lineRule="atLeast"/>
            </w:pPr>
            <w:r>
              <w:t>Вывоз бытового мусора</w:t>
            </w:r>
          </w:p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</w:pPr>
            <w:r>
              <w:t>раз в неделю</w:t>
            </w:r>
          </w:p>
        </w:tc>
        <w:tc>
          <w:tcPr>
            <w:tcW w:w="1020" w:type="dxa"/>
          </w:tcPr>
          <w:p w:rsidR="004A66AA" w:rsidRDefault="004A66AA">
            <w:pPr>
              <w:spacing w:after="1" w:line="240" w:lineRule="atLeast"/>
            </w:pPr>
            <w:r>
              <w:t>зима</w:t>
            </w:r>
          </w:p>
        </w:tc>
        <w:tc>
          <w:tcPr>
            <w:tcW w:w="1191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3118" w:type="dxa"/>
            <w:gridSpan w:val="2"/>
            <w:vMerge w:val="restart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2098" w:type="dxa"/>
            <w:vMerge/>
          </w:tcPr>
          <w:p w:rsidR="004A66AA" w:rsidRDefault="004A66AA"/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020" w:type="dxa"/>
          </w:tcPr>
          <w:p w:rsidR="004A66AA" w:rsidRDefault="004A66AA">
            <w:pPr>
              <w:spacing w:after="1" w:line="240" w:lineRule="atLeast"/>
            </w:pPr>
            <w:r>
              <w:t>лето</w:t>
            </w:r>
          </w:p>
        </w:tc>
        <w:tc>
          <w:tcPr>
            <w:tcW w:w="1191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3118" w:type="dxa"/>
            <w:gridSpan w:val="2"/>
            <w:vMerge/>
          </w:tcPr>
          <w:p w:rsidR="004A66AA" w:rsidRDefault="004A66AA"/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3"/>
      </w:pPr>
      <w:r>
        <w:t>1.6.2. Расчетные показатели в отношении предприятий по утилизации и переработке отходов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4"/>
      </w:pPr>
      <w:r>
        <w:t>Таблица 15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304"/>
        <w:gridCol w:w="1304"/>
        <w:gridCol w:w="1417"/>
        <w:gridCol w:w="1472"/>
      </w:tblGrid>
      <w:tr w:rsidR="004A66AA">
        <w:tc>
          <w:tcPr>
            <w:tcW w:w="3515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260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889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3515" w:type="dxa"/>
            <w:vMerge/>
          </w:tcPr>
          <w:p w:rsidR="004A66AA" w:rsidRDefault="004A66AA"/>
        </w:tc>
        <w:tc>
          <w:tcPr>
            <w:tcW w:w="130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41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472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3515" w:type="dxa"/>
          </w:tcPr>
          <w:p w:rsidR="004A66AA" w:rsidRDefault="004A66AA">
            <w:pPr>
              <w:spacing w:after="1" w:line="240" w:lineRule="atLeast"/>
            </w:pPr>
            <w:r>
              <w:t>Объект размещения отходов (полигон ТБО)</w:t>
            </w:r>
          </w:p>
        </w:tc>
        <w:tc>
          <w:tcPr>
            <w:tcW w:w="1304" w:type="dxa"/>
          </w:tcPr>
          <w:p w:rsidR="004A66AA" w:rsidRDefault="004A66AA">
            <w:pPr>
              <w:spacing w:after="1" w:line="240" w:lineRule="atLeast"/>
            </w:pPr>
            <w:r>
              <w:t>га</w:t>
            </w:r>
          </w:p>
        </w:tc>
        <w:tc>
          <w:tcPr>
            <w:tcW w:w="1304" w:type="dxa"/>
          </w:tcPr>
          <w:p w:rsidR="004A66AA" w:rsidRDefault="004A66AA">
            <w:pPr>
              <w:spacing w:after="1" w:line="240" w:lineRule="atLeast"/>
            </w:pPr>
            <w:r>
              <w:t>20</w:t>
            </w:r>
          </w:p>
        </w:tc>
        <w:tc>
          <w:tcPr>
            <w:tcW w:w="2889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Примечание: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Норма площади объекта размещения отходов приведена для максимально допустимой высоты складирования отходов 45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Полигон с такой высотой складирования отходов относится к категории высоконагружаемых (высота складирования отходов более 20 м, нагрузка на площадь более 10 т/м</w:t>
      </w:r>
      <w:proofErr w:type="gramStart"/>
      <w:r>
        <w:rPr>
          <w:vertAlign w:val="superscript"/>
        </w:rPr>
        <w:t>2</w:t>
      </w:r>
      <w:proofErr w:type="gramEnd"/>
      <w:r>
        <w:t xml:space="preserve"> (100 тыс. т/га)). При уменьшении нагрузки и при высоте складирования отходов 12 м площадь полигона твердых отходов принимается 60 га.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1.7. Расчетные показатели в отношении объектов, предназначенных для обеспечения первичных мер пожарной безопасности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16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614"/>
        <w:gridCol w:w="1531"/>
        <w:gridCol w:w="1558"/>
        <w:gridCol w:w="1558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145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116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2268" w:type="dxa"/>
            <w:vMerge/>
          </w:tcPr>
          <w:p w:rsidR="004A66AA" w:rsidRDefault="004A66AA"/>
        </w:tc>
        <w:tc>
          <w:tcPr>
            <w:tcW w:w="161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268" w:type="dxa"/>
          </w:tcPr>
          <w:p w:rsidR="004A66AA" w:rsidRDefault="004A66AA">
            <w:pPr>
              <w:spacing w:after="1" w:line="240" w:lineRule="atLeast"/>
            </w:pPr>
            <w:r>
              <w:t>Пожарное депо</w:t>
            </w:r>
          </w:p>
        </w:tc>
        <w:tc>
          <w:tcPr>
            <w:tcW w:w="1614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9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</w:pPr>
            <w:r>
              <w:t>мин.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268" w:type="dxa"/>
          </w:tcPr>
          <w:p w:rsidR="004A66AA" w:rsidRDefault="004A66AA">
            <w:pPr>
              <w:spacing w:after="1" w:line="240" w:lineRule="atLeast"/>
            </w:pPr>
            <w:r>
              <w:t>Дороги (улицы, проезды) с обеспечением беспрепятственного проезда пожарной техники</w:t>
            </w:r>
          </w:p>
        </w:tc>
        <w:tc>
          <w:tcPr>
            <w:tcW w:w="3145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558" w:type="dxa"/>
          </w:tcPr>
          <w:p w:rsidR="004A66AA" w:rsidRDefault="004A66AA">
            <w:pPr>
              <w:spacing w:after="1" w:line="240" w:lineRule="atLeast"/>
            </w:pPr>
            <w:r>
              <w:t>150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Примечания: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1. Размещение иных объектов, предназначенных для обеспечения первичных мер пожарной безопасности, кроме перечисленных в этой таблице, нормируется строительными нормами по проектированию систем наружного водоснабжения и иными нормативными документами.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 За максимально допустимый уровень территориальной доступности дороги (улицы, проезда) с обеспечением беспрепятственного проезда пожарной техники принимается половина расстояния между соседними дорогами (улицами, проездами).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1.8. Расчетные показатели в отношении объектов, предназначенных для создания условий обеспечения жителей услугами связи, общественного питания, торговли и бытового обслуживания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17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531"/>
        <w:gridCol w:w="1701"/>
        <w:gridCol w:w="1587"/>
        <w:gridCol w:w="1134"/>
      </w:tblGrid>
      <w:tr w:rsidR="004A66AA">
        <w:tc>
          <w:tcPr>
            <w:tcW w:w="454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23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454" w:type="dxa"/>
            <w:vMerge/>
          </w:tcPr>
          <w:p w:rsidR="004A66AA" w:rsidRDefault="004A66AA"/>
        </w:tc>
        <w:tc>
          <w:tcPr>
            <w:tcW w:w="2665" w:type="dxa"/>
            <w:vMerge/>
          </w:tcPr>
          <w:p w:rsidR="004A66AA" w:rsidRDefault="004A66AA"/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9072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связи, общественного питания, торговли и бытового обслуживания микрорайонного значения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Отделение связи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Магазин продовольственных товаров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торговой площади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200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 xml:space="preserve">Магазин непродовольственных товаров повседневного </w:t>
            </w:r>
            <w:r>
              <w:lastRenderedPageBreak/>
              <w:t>спроса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торговой площади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80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4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Предприятие общественного питания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40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Предприятия бытового обслуживания (мастерские, парикмахерские и т.п.)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рабочих мест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Приемный пункт прачечной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кг</w:t>
            </w:r>
            <w:proofErr w:type="gramEnd"/>
            <w:r>
              <w:t xml:space="preserve"> белья в смену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7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Приемный пункт химчистки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кг</w:t>
            </w:r>
            <w:proofErr w:type="gramEnd"/>
            <w:r>
              <w:t xml:space="preserve"> вещей в смену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9072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связи, общественного питания, торговли и бытового обслуживания районного (жилого района) значения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8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Отделение связи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по нормам и правилам министерства связи и массовых коммуникаций РФ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9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Магазин продовольственных товаров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торговой площади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197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Магазин непродовольственных товаров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торговой площади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448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11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Предприятие общественного питания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40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12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Предприятие бытового обслуживания, в том числе: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рабочее место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9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- непосредственного обслуживания населения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- производственные предприятия централизованного выполнения заказов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13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Прачечная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кг</w:t>
            </w:r>
            <w:proofErr w:type="gramEnd"/>
            <w:r>
              <w:t xml:space="preserve"> белья в </w:t>
            </w:r>
            <w:r>
              <w:lastRenderedPageBreak/>
              <w:t>смену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120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14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Химчистка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кг</w:t>
            </w:r>
            <w:proofErr w:type="gramEnd"/>
            <w:r>
              <w:t xml:space="preserve"> вещей в смену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11,4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Баня, сауна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16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Пункт приема вторичного сырья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 на 20 тыс.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трансп.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20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17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Гостиница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человек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9072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общественного питания, торговли и бытового обслуживания городского значения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18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Торговый центр (торгово-выставочный, торгово-развлекательный) центр</w:t>
            </w:r>
          </w:p>
        </w:tc>
        <w:tc>
          <w:tcPr>
            <w:tcW w:w="3232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 (по заданию на проектирование)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454" w:type="dxa"/>
          </w:tcPr>
          <w:p w:rsidR="004A66AA" w:rsidRDefault="004A66AA">
            <w:pPr>
              <w:spacing w:after="1" w:line="240" w:lineRule="atLeast"/>
            </w:pPr>
            <w:r>
              <w:t>19</w:t>
            </w:r>
          </w:p>
        </w:tc>
        <w:tc>
          <w:tcPr>
            <w:tcW w:w="2665" w:type="dxa"/>
          </w:tcPr>
          <w:p w:rsidR="004A66AA" w:rsidRDefault="004A66AA">
            <w:pPr>
              <w:spacing w:after="1" w:line="240" w:lineRule="atLeast"/>
            </w:pPr>
            <w:r>
              <w:t>Общественные уборные в местах массового пребывания людей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прибор/1000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  <w:r>
        <w:t>Примечание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 районах малоэтажной застройки максимально допустимый уровень территориальной доступности предприятий торговли, общественного питания и бытового обслуживания местного значения может составлять 800 м.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1.9. Расчетные показатели в отношении объектов библиотечного обслуживания населения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18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21"/>
        <w:gridCol w:w="1391"/>
        <w:gridCol w:w="1807"/>
        <w:gridCol w:w="1468"/>
      </w:tblGrid>
      <w:tr w:rsidR="004A66AA">
        <w:tc>
          <w:tcPr>
            <w:tcW w:w="1644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411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275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1644" w:type="dxa"/>
            <w:vMerge/>
          </w:tcPr>
          <w:p w:rsidR="004A66AA" w:rsidRDefault="004A66AA"/>
        </w:tc>
        <w:tc>
          <w:tcPr>
            <w:tcW w:w="272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80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468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1644" w:type="dxa"/>
            <w:vMerge w:val="restart"/>
          </w:tcPr>
          <w:p w:rsidR="004A66AA" w:rsidRDefault="004A66AA">
            <w:pPr>
              <w:spacing w:after="1" w:line="240" w:lineRule="atLeast"/>
            </w:pPr>
            <w:r>
              <w:t>Массовая библиотека</w:t>
            </w:r>
          </w:p>
        </w:tc>
        <w:tc>
          <w:tcPr>
            <w:tcW w:w="2721" w:type="dxa"/>
          </w:tcPr>
          <w:p w:rsidR="004A66AA" w:rsidRDefault="004A66AA">
            <w:pPr>
              <w:spacing w:after="1" w:line="240" w:lineRule="atLeast"/>
            </w:pPr>
            <w:r>
              <w:t>тыс. единиц хранения на 1000 жителей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180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468" w:type="dxa"/>
          </w:tcPr>
          <w:p w:rsidR="004A66AA" w:rsidRDefault="004A66AA">
            <w:pPr>
              <w:spacing w:after="1" w:line="240" w:lineRule="atLeast"/>
            </w:pPr>
            <w:r>
              <w:t>1500</w:t>
            </w:r>
          </w:p>
        </w:tc>
      </w:tr>
      <w:tr w:rsidR="004A66AA">
        <w:tc>
          <w:tcPr>
            <w:tcW w:w="1644" w:type="dxa"/>
            <w:vMerge/>
          </w:tcPr>
          <w:p w:rsidR="004A66AA" w:rsidRDefault="004A66AA"/>
        </w:tc>
        <w:tc>
          <w:tcPr>
            <w:tcW w:w="2721" w:type="dxa"/>
          </w:tcPr>
          <w:p w:rsidR="004A66AA" w:rsidRDefault="004A66AA">
            <w:pPr>
              <w:spacing w:after="1" w:line="240" w:lineRule="atLeast"/>
            </w:pPr>
            <w:r>
              <w:t>мест в читальном зале на 1000 жителей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1807" w:type="dxa"/>
          </w:tcPr>
          <w:p w:rsidR="004A66AA" w:rsidRDefault="004A66AA">
            <w:pPr>
              <w:spacing w:after="1" w:line="240" w:lineRule="atLeast"/>
            </w:pPr>
          </w:p>
        </w:tc>
        <w:tc>
          <w:tcPr>
            <w:tcW w:w="1468" w:type="dxa"/>
          </w:tcPr>
          <w:p w:rsidR="004A66AA" w:rsidRDefault="004A66AA">
            <w:pPr>
              <w:spacing w:after="1" w:line="240" w:lineRule="atLeast"/>
            </w:pP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1.10. Расчетные показатели в отношении объектов культуры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19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30"/>
        <w:gridCol w:w="1531"/>
        <w:gridCol w:w="1531"/>
        <w:gridCol w:w="1587"/>
        <w:gridCol w:w="1134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06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2730" w:type="dxa"/>
            <w:vMerge/>
          </w:tcPr>
          <w:p w:rsidR="004A66AA" w:rsidRDefault="004A66AA"/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9023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организаций культуры районного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Помещения для культурно-массовой работы с населением, досуга и любительской деятельности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площади пола на 1 тыс.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50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1200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Танцевальные залы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место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1200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Клубы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посетит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80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1200</w:t>
            </w:r>
          </w:p>
        </w:tc>
      </w:tr>
      <w:tr w:rsidR="004A66AA">
        <w:tc>
          <w:tcPr>
            <w:tcW w:w="9023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организаций культуры городского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Кинотеатры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25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Театры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Музеи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 на муниц. округ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7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Выставочные залы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 на муниц. округ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8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Концертные залы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9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Видеозалы, залы аттракционов и игровых автоматов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кв. м общей площади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Универсальные спортивно-зрелищные залы, в том числе с искусственным льдом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мест на 1000 чел.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1.11. Расчетные показатели в отношении объектов благоустройства, мест массового отдыха населения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20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30"/>
        <w:gridCol w:w="1530"/>
        <w:gridCol w:w="1530"/>
        <w:gridCol w:w="1587"/>
        <w:gridCol w:w="1134"/>
      </w:tblGrid>
      <w:tr w:rsidR="004A66AA">
        <w:tc>
          <w:tcPr>
            <w:tcW w:w="51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060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510" w:type="dxa"/>
            <w:vMerge/>
          </w:tcPr>
          <w:p w:rsidR="004A66AA" w:rsidRDefault="004A66AA"/>
        </w:tc>
        <w:tc>
          <w:tcPr>
            <w:tcW w:w="2730" w:type="dxa"/>
            <w:vMerge/>
          </w:tcPr>
          <w:p w:rsidR="004A66AA" w:rsidRDefault="004A66AA"/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902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благоустройства микрорайонного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Скверы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микрорайон (квартал)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0,3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500</w:t>
            </w:r>
          </w:p>
        </w:tc>
      </w:tr>
      <w:tr w:rsidR="004A66AA">
        <w:tc>
          <w:tcPr>
            <w:tcW w:w="902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благоустройства районного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Сады жилых районов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район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1000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Парки планировочных районов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планировочный район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10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20</w:t>
            </w:r>
          </w:p>
        </w:tc>
      </w:tr>
      <w:tr w:rsidR="004A66AA">
        <w:tc>
          <w:tcPr>
            <w:tcW w:w="9021" w:type="dxa"/>
            <w:gridSpan w:val="6"/>
          </w:tcPr>
          <w:p w:rsidR="004A66AA" w:rsidRDefault="004A66AA">
            <w:pPr>
              <w:spacing w:after="1" w:line="240" w:lineRule="atLeast"/>
              <w:jc w:val="center"/>
              <w:outlineLvl w:val="4"/>
            </w:pPr>
            <w:r>
              <w:t>Объекты благоустройства городского значения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4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Городские парки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га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15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Объекты рекреации - пляжи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кв. м/посетителя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  <w:tr w:rsidR="004A66AA">
        <w:tc>
          <w:tcPr>
            <w:tcW w:w="510" w:type="dxa"/>
          </w:tcPr>
          <w:p w:rsidR="004A66AA" w:rsidRDefault="004A66AA">
            <w:pPr>
              <w:spacing w:after="1" w:line="240" w:lineRule="atLeast"/>
            </w:pPr>
            <w:r>
              <w:t>6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Лесопарки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кв. м/чел.</w:t>
            </w:r>
          </w:p>
        </w:tc>
        <w:tc>
          <w:tcPr>
            <w:tcW w:w="1530" w:type="dxa"/>
          </w:tcPr>
          <w:p w:rsidR="004A66AA" w:rsidRDefault="004A66AA">
            <w:pPr>
              <w:spacing w:after="1" w:line="240" w:lineRule="atLeast"/>
            </w:pPr>
            <w:r>
              <w:t>5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1.12. Расчетные показатели в отношении муниципальных архивов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21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57"/>
        <w:gridCol w:w="1391"/>
        <w:gridCol w:w="1644"/>
        <w:gridCol w:w="1391"/>
      </w:tblGrid>
      <w:tr w:rsidR="004A66AA">
        <w:tc>
          <w:tcPr>
            <w:tcW w:w="2835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14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2835" w:type="dxa"/>
            <w:vMerge/>
          </w:tcPr>
          <w:p w:rsidR="004A66AA" w:rsidRDefault="004A66AA"/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2835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Муниципальный (городской) архив</w:t>
            </w:r>
          </w:p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1.13. Расчетные показатели в отношении объектов, предназначенных для организации ритуальных услуг, мест захоронения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22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2730"/>
        <w:gridCol w:w="1531"/>
        <w:gridCol w:w="1701"/>
        <w:gridCol w:w="1587"/>
        <w:gridCol w:w="1134"/>
      </w:tblGrid>
      <w:tr w:rsidR="004A66AA">
        <w:tc>
          <w:tcPr>
            <w:tcW w:w="397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0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232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397" w:type="dxa"/>
            <w:vMerge/>
          </w:tcPr>
          <w:p w:rsidR="004A66AA" w:rsidRDefault="004A66AA"/>
        </w:tc>
        <w:tc>
          <w:tcPr>
            <w:tcW w:w="2730" w:type="dxa"/>
            <w:vMerge/>
          </w:tcPr>
          <w:p w:rsidR="004A66AA" w:rsidRDefault="004A66AA"/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58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397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Дом траурных обрядов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r>
              <w:t>объект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1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397" w:type="dxa"/>
          </w:tcPr>
          <w:p w:rsidR="004A66AA" w:rsidRDefault="004A66AA">
            <w:pPr>
              <w:spacing w:after="1" w:line="240" w:lineRule="atLeast"/>
            </w:pPr>
            <w:r>
              <w:t>2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Кладбища традиционного захоронения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0,24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</w:pPr>
          </w:p>
        </w:tc>
      </w:tr>
      <w:tr w:rsidR="004A66AA">
        <w:tc>
          <w:tcPr>
            <w:tcW w:w="397" w:type="dxa"/>
          </w:tcPr>
          <w:p w:rsidR="004A66AA" w:rsidRDefault="004A66AA">
            <w:pPr>
              <w:spacing w:after="1" w:line="240" w:lineRule="atLeast"/>
            </w:pPr>
            <w:r>
              <w:t>3</w:t>
            </w:r>
          </w:p>
        </w:tc>
        <w:tc>
          <w:tcPr>
            <w:tcW w:w="2730" w:type="dxa"/>
          </w:tcPr>
          <w:p w:rsidR="004A66AA" w:rsidRDefault="004A66AA">
            <w:pPr>
              <w:spacing w:after="1" w:line="240" w:lineRule="atLeast"/>
            </w:pPr>
            <w:r>
              <w:t>Кладбища урновых захоронений после кремации</w:t>
            </w:r>
          </w:p>
        </w:tc>
        <w:tc>
          <w:tcPr>
            <w:tcW w:w="1531" w:type="dxa"/>
          </w:tcPr>
          <w:p w:rsidR="004A66AA" w:rsidRDefault="004A66AA">
            <w:pPr>
              <w:spacing w:after="1" w:line="240" w:lineRule="atLeast"/>
            </w:pPr>
            <w:proofErr w:type="gramStart"/>
            <w:r>
              <w:t>га</w:t>
            </w:r>
            <w:proofErr w:type="gramEnd"/>
            <w:r>
              <w:t xml:space="preserve"> на 1000 чел.</w:t>
            </w:r>
          </w:p>
        </w:tc>
        <w:tc>
          <w:tcPr>
            <w:tcW w:w="1701" w:type="dxa"/>
          </w:tcPr>
          <w:p w:rsidR="004A66AA" w:rsidRDefault="004A66AA">
            <w:pPr>
              <w:spacing w:after="1" w:line="240" w:lineRule="atLeast"/>
            </w:pPr>
            <w:r>
              <w:t>0,02</w:t>
            </w:r>
          </w:p>
        </w:tc>
        <w:tc>
          <w:tcPr>
            <w:tcW w:w="2721" w:type="dxa"/>
            <w:gridSpan w:val="2"/>
          </w:tcPr>
          <w:p w:rsidR="004A66AA" w:rsidRDefault="004A66AA">
            <w:pPr>
              <w:spacing w:after="1" w:line="240" w:lineRule="atLeast"/>
            </w:pP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1.14. Расчетные показатели в отношении объектов защитных сооружений, сре</w:t>
      </w:r>
      <w:proofErr w:type="gramStart"/>
      <w:r>
        <w:t>дств дл</w:t>
      </w:r>
      <w:proofErr w:type="gramEnd"/>
      <w:r>
        <w:t>я защиты территорий от чрезвычайных ситуаций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23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57"/>
        <w:gridCol w:w="1391"/>
        <w:gridCol w:w="1644"/>
        <w:gridCol w:w="1391"/>
      </w:tblGrid>
      <w:tr w:rsidR="004A66AA">
        <w:tc>
          <w:tcPr>
            <w:tcW w:w="2835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14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2835" w:type="dxa"/>
            <w:vMerge/>
          </w:tcPr>
          <w:p w:rsidR="004A66AA" w:rsidRDefault="004A66AA"/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2835" w:type="dxa"/>
          </w:tcPr>
          <w:p w:rsidR="004A66AA" w:rsidRDefault="004A66AA">
            <w:pPr>
              <w:spacing w:after="1" w:line="240" w:lineRule="atLeast"/>
            </w:pPr>
            <w:r>
              <w:t>Административные здания для размещения сил и средств защиты населения и территории от чрезвычайных ситуаций природного и техногенного характера, аварийно-спасательных служб</w:t>
            </w:r>
          </w:p>
        </w:tc>
        <w:tc>
          <w:tcPr>
            <w:tcW w:w="3148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2835" w:type="dxa"/>
          </w:tcPr>
          <w:p w:rsidR="004A66AA" w:rsidRDefault="004A66AA">
            <w:pPr>
              <w:spacing w:after="1" w:line="240" w:lineRule="atLeast"/>
            </w:pPr>
            <w:r>
              <w:t>Берегозащитные сооружения</w:t>
            </w:r>
          </w:p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</w:pPr>
            <w:r>
              <w:t xml:space="preserve">% протяженности береговой </w:t>
            </w:r>
            <w:r>
              <w:lastRenderedPageBreak/>
              <w:t>линии, требующей защиты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100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  <w:tr w:rsidR="004A66AA">
        <w:tc>
          <w:tcPr>
            <w:tcW w:w="2835" w:type="dxa"/>
          </w:tcPr>
          <w:p w:rsidR="004A66AA" w:rsidRDefault="004A66AA">
            <w:pPr>
              <w:spacing w:after="1" w:line="240" w:lineRule="atLeast"/>
            </w:pPr>
            <w:r>
              <w:lastRenderedPageBreak/>
              <w:t>Сооружения по защите территорий от чрезвычайных ситуаций природного и техногенного характера</w:t>
            </w:r>
          </w:p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</w:pPr>
            <w:r>
              <w:t>% территории, требующей защиты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t>100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Не нормируется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1.15. Расчетные показатели в отношении объектов, предназначенных для создания условий расширения рынка сельскохозяйственной продукции, сырья и продовольствия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jc w:val="right"/>
        <w:outlineLvl w:val="3"/>
      </w:pPr>
      <w:r>
        <w:t>Таблица 24</w:t>
      </w:r>
    </w:p>
    <w:p w:rsidR="004A66AA" w:rsidRDefault="004A66AA">
      <w:pPr>
        <w:spacing w:after="1" w:line="24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57"/>
        <w:gridCol w:w="1391"/>
        <w:gridCol w:w="1644"/>
        <w:gridCol w:w="1391"/>
      </w:tblGrid>
      <w:tr w:rsidR="004A66AA">
        <w:tc>
          <w:tcPr>
            <w:tcW w:w="2835" w:type="dxa"/>
            <w:vMerge w:val="restart"/>
          </w:tcPr>
          <w:p w:rsidR="004A66AA" w:rsidRDefault="004A66AA">
            <w:pPr>
              <w:spacing w:after="1" w:line="240" w:lineRule="atLeast"/>
              <w:jc w:val="center"/>
            </w:pPr>
            <w:r>
              <w:t>Наименование объекта</w:t>
            </w:r>
          </w:p>
        </w:tc>
        <w:tc>
          <w:tcPr>
            <w:tcW w:w="3148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Минимально допустимый уровень обеспеченности</w:t>
            </w:r>
          </w:p>
        </w:tc>
        <w:tc>
          <w:tcPr>
            <w:tcW w:w="3035" w:type="dxa"/>
            <w:gridSpan w:val="2"/>
          </w:tcPr>
          <w:p w:rsidR="004A66AA" w:rsidRDefault="004A66AA">
            <w:pPr>
              <w:spacing w:after="1" w:line="240" w:lineRule="atLeast"/>
              <w:jc w:val="center"/>
            </w:pPr>
            <w:r>
              <w:t>Максимально допустимый уровень территориальной доступности</w:t>
            </w:r>
          </w:p>
        </w:tc>
      </w:tr>
      <w:tr w:rsidR="004A66AA">
        <w:tc>
          <w:tcPr>
            <w:tcW w:w="2835" w:type="dxa"/>
            <w:vMerge/>
          </w:tcPr>
          <w:p w:rsidR="004A66AA" w:rsidRDefault="004A66AA"/>
        </w:tc>
        <w:tc>
          <w:tcPr>
            <w:tcW w:w="1757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Единица измерения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  <w:jc w:val="center"/>
            </w:pPr>
            <w:r>
              <w:t>Величина</w:t>
            </w:r>
          </w:p>
        </w:tc>
      </w:tr>
      <w:tr w:rsidR="004A66AA">
        <w:tc>
          <w:tcPr>
            <w:tcW w:w="2835" w:type="dxa"/>
          </w:tcPr>
          <w:p w:rsidR="004A66AA" w:rsidRDefault="004A66AA">
            <w:pPr>
              <w:spacing w:after="1" w:line="240" w:lineRule="atLeast"/>
            </w:pPr>
            <w:r>
              <w:t>Рынки, рыночные комплексы</w:t>
            </w:r>
          </w:p>
        </w:tc>
        <w:tc>
          <w:tcPr>
            <w:tcW w:w="3148" w:type="dxa"/>
            <w:gridSpan w:val="2"/>
          </w:tcPr>
          <w:p w:rsidR="004A66AA" w:rsidRDefault="004A66AA">
            <w:pPr>
              <w:spacing w:after="1" w:line="240" w:lineRule="atLeast"/>
            </w:pPr>
            <w:r>
              <w:t>По заданию на проектирование</w:t>
            </w:r>
          </w:p>
        </w:tc>
        <w:tc>
          <w:tcPr>
            <w:tcW w:w="1644" w:type="dxa"/>
          </w:tcPr>
          <w:p w:rsidR="004A66AA" w:rsidRDefault="004A66AA">
            <w:pPr>
              <w:spacing w:after="1" w:line="240" w:lineRule="atLeast"/>
            </w:pPr>
            <w:r>
              <w:t>мин. транспортной доступности</w:t>
            </w:r>
          </w:p>
        </w:tc>
        <w:tc>
          <w:tcPr>
            <w:tcW w:w="1391" w:type="dxa"/>
          </w:tcPr>
          <w:p w:rsidR="004A66AA" w:rsidRDefault="004A66AA">
            <w:pPr>
              <w:spacing w:after="1" w:line="240" w:lineRule="atLeast"/>
            </w:pPr>
            <w:r>
              <w:t>30</w:t>
            </w:r>
          </w:p>
        </w:tc>
      </w:tr>
    </w:tbl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1"/>
      </w:pPr>
      <w:r>
        <w:t>Раздел 2.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2.1. Обоснование расчетных показателей по объектам, относящимся к области электро-, тепл</w:t>
      </w:r>
      <w:proofErr w:type="gramStart"/>
      <w:r>
        <w:t>о-</w:t>
      </w:r>
      <w:proofErr w:type="gramEnd"/>
      <w:r>
        <w:t>, газо-, и водоснабжения, водоотведения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показатели, относящиеся к областям электро-, тепл</w:t>
      </w:r>
      <w:proofErr w:type="gramStart"/>
      <w:r>
        <w:t>о-</w:t>
      </w:r>
      <w:proofErr w:type="gramEnd"/>
      <w:r>
        <w:t>, газо-, и водоснабжения, водоотведения определены в соответствии с: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СП 42.13330.2016. Свод правил. Градостроительство. Планировка и застройка городских и сельских поселений. Актуализированная редакция СНиП 2.07.01-89*;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СП 43.13330.2012. Свод правил. Сооружения промышленных предприятий. Актуализированная редакция СНиП 2.09.03-85;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СП 124.13330.2012. Свод правил. Тепловые сети. Актуализированная редакция СНиП 41-02-2003;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пунктами СП 30.13330.2012. Свод правил. Внутренний водопровод и канализация зданий. Актуализированная редакция СНиП 2.04.01-85, включенными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утвержденный постановлением Правительства РФ от 26.12.2014 N 1521;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 xml:space="preserve">- </w:t>
      </w:r>
      <w:hyperlink r:id="rId11" w:history="1">
        <w:r>
          <w:rPr>
            <w:color w:val="0000FF"/>
          </w:rPr>
          <w:t>СанПиН 2.1.4.1110-02</w:t>
        </w:r>
      </w:hyperlink>
      <w:r>
        <w:t xml:space="preserve"> "Зоны санитарной охраны источников водоснабжения и водопроводов питьевого назначения";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Региональными </w:t>
      </w:r>
      <w:hyperlink r:id="rId13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Орловской области, утвержденными постановлением Правительства Орловской области от 1 августа 2011 г. N 250.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2.2. Обоснование расчетных показателей в отношении автомобильных дорог местного значения, улично-дорожной сети, объектов дорожного сервиса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2.2.1. </w:t>
      </w:r>
      <w:proofErr w:type="gramStart"/>
      <w:r>
        <w:t xml:space="preserve">Объекты транспорта необходимо размещать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29.10.2009 N 860 "О требованиях к обеспеченности автомобильных дорог общего пользования объектами дорожного сервиса, размещаемыми в границах полос отвода",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28.09.2009 N 767 "О классификации автомобильных дорог в Российской Федерации",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02.09.2009 N 717 "О нормах отвода земель для размещения автомобильных дорог и</w:t>
      </w:r>
      <w:proofErr w:type="gramEnd"/>
      <w:r>
        <w:t xml:space="preserve"> (или) объектов дорожного сервиса".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2.2.2. Улично-дорожную сеть, сеть общественного пассажирского транспорта, пешеходное движение и инженерное обеспечение при планировке и застройке жилой и общественных зон проектируют в соответствии с требованиями СП 42.13330.2016. Свод правил. Градостроительство. Планировка и застройка городских и сельских поселений. Актуализированная редакция СНиП 2.07.01-89*, СП 34.13330.2012. Свод правил. Автомобильные дороги. Актуализированная редакция СНиП 2.05.02-85*.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2.2.3. Проектирование дорог на территориях производственных предприятий следует осуществлять в соответствии с требованиями СП 34.13330.2012. Свод правил. Автомобильные дороги. Актуализированная редакция СНиП 2.05.02-85*.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2.2.4. Основные расчетные параметры уличной сети города Орла рассчитаны в соответствии с </w:t>
      </w:r>
      <w:hyperlink r:id="rId17" w:history="1">
        <w:r>
          <w:rPr>
            <w:color w:val="0000FF"/>
          </w:rPr>
          <w:t>таблицей 6.6</w:t>
        </w:r>
      </w:hyperlink>
      <w:r>
        <w:t xml:space="preserve"> "Основные расчетные параметры уличной сети" п. 6.2.4 Региональных нормативов градостроительного проектирования Орловской области, утвержденных постановлением Правительства Орловской области от 1 августа 2011 г. N 250.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2.3. Обоснование нормативов обеспеченности объектами для хранения и обслуживания транспортных средств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2.3.1. Требуемое количество машино-мест в местах организованного хранения автотранспортных средств определяется из расчета на 1000 жителей: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1) для хранения легковых автомобилей, находящихся в частной собственности - 300;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2) для хранения легковых автомобилей ведомственной принадлежности - 2;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3) для таксомоторного парка - 4.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При определении общей потребности в местах для хранения учитываются другие индивидуальные транспортные средства с приведением их к одному расчетному виду (легковому автомобилю) с применением следующих коэффициентов: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- мотоциклы и мотороллеры с колясками, мотоколяски - 0,5;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мотоциклы и мотороллеры без колясок - 0,25;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мопеды и велосипеды - 0,1.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Сооружения для хранения легковых автомобилей проектируются в радиусе доступности 250 - 300 м от мест жительства автовладельцев, но не более чем в 800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Допускается увеличивать дальность подходов к сооружениям для хранения легковых автомобилей для жителей кварталов с сохраняемой застройкой до 1500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2.3.2. </w:t>
      </w:r>
      <w:proofErr w:type="gramStart"/>
      <w:r>
        <w:t>Автостоянки проектируются ниже и/или выше уровня земли, состоят из подземной и надземной частей (подземных и надземных этажей, в том числе с использованием кровли этих зданий), пристраиваются к зданиям другого назначения или встраиваются в них, в том числе располагаются под этими зданиями в цокольных или в нижних надземных этажах, а также размещаются на специально оборудованной открытой площадке на уровне земли</w:t>
      </w:r>
      <w:proofErr w:type="gramEnd"/>
      <w:r>
        <w:t xml:space="preserve"> с соблюдением установленных законодательством требований.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Подземные автостоянки размещаются также на незастроенной территории (в том числе под проездами, улицами, площадями).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2.3.3. Сооружения для хранения легковых автомобилей всех категорий проектируются: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на территориях производственных зон, на территориях защитных зон между полосами отвода железных дорог и линиями застройки, в санитарно-защитных зонах производственных предприятий и железных дорог;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на территориях жилых районов и микрорайонов (кварталов), в том числе в пределах улиц и дорог, граничащих с жилыми районами и микрорайонами (кварталами).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2.3.4. Автостоянки (открытые площадки) легковых автомобилей, принадлежащих постоянному населению города Орла, временно размещаются на участках, резервируемых для перспективного строительства объектов и сооружений различного функционального назначения, включая многоярусные механизированные автостоянки.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2.3.5. Наземные автостоянки вместимостью более 500 машино-мест размещаются на территориях производственных и коммунально-складских зон.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Открытые автостоянки и паркинги размещаются в жилых районах, микрорайонах (кварталах) при условии соблюдения санитарных разрывов от автостоянок до объектов, установленных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2.3.6. Разрыв от наземных автостоянок,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2.3.7. В случае размещения на смежных участках нескольких автостоянок (открытых площадок), расположенных с разрывом между ними, не превышающим 25 м, расстояние от этих автостоянок до жилых домов и других зданий следует принимать с учетом общего количества машино-мест на всех автостоянках.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Не допускается размещение во внутриквартальной жилой застройке автостоянок общей вместимостью более 300 машино-мест.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2.3.8. Автостоянки допускается проектировать пристроенными к зданиям другого функционального назначения, за исключением зданий дошкольных и школьных образовательных учреждений, в том числе спальных корпусов, внешкольных учебных заведений, учреждений начального профессионального и среднего специального образования, больниц, специализированных домов престарелых и инвалидов, производственных и складских помещений категорий</w:t>
      </w:r>
      <w:proofErr w:type="gramStart"/>
      <w:r>
        <w:t xml:space="preserve"> А</w:t>
      </w:r>
      <w:proofErr w:type="gramEnd"/>
      <w:r>
        <w:t xml:space="preserve"> и Б.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2.3.9. Автостоянки, пристраиваемые к зданиям другого назначения, должны быть отделены от этих зданий противопожарными стенами 1-го типа.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Встроенные, пристроенные и встроенно-пристроенные автостоянки для хранения легковых автомобилей населения допускается проектировать в подземных и цокольных этажах жилых и общественных зданий.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2.3.10. Автостоянки закрытого типа для автомобилей с двигателями, работающими на сжатом природном газе и сжиженном нефтяном газе, запрещается проектировать встроенными и пристроенными к зданиям иного назначения, а также ниже уровня земли.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2.3.11. Расстояние от въезда - выезда полуподземных и обвалованных автостоянок до территорий детских, образовательных, лечебно-профилактических учреждений, фасадов жилых зданий, площадок отдыха и др. должно быть не менее 15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2.3.12. Многоярусные механизированные автостоянки закрытого типа с пассивным передвижением автомобилей внутри сооружения (с выключенным двигателем) допускается: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устраивать отдельно стоящими;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пристраивать к глухим торцевым стенам (без окон) производственных, административно-общественных (за исключением лечебных и дошкольных учреждений, школ), жилых зданий - вместимостью не более 150 машино-мест;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пристраивать к существующим брандмауэрам, устраивать встроенными (встроенно-пристроенными) в отдельные здания, а также встраивать между глухими торцевыми стенами двух рядом стоящих зданий производственного, административно-общественного назначения - без ограничения вместимости;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встраивать между глухими торцевыми стенами двух рядом стоящих жилых зданий при условии компоновки автостоянки без выхода за габариты жилых зданий по ширине - вместимостью не более 150 машино-мест.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Обязательным условием применения встроенных, пристроенных, встроенно-пристроенных механизированных и автоматизированных автостоянок является устройство независимых от основного здания несущих конструкций, технических этажей, перегородок с обеспечением шумо- и виброзащиты, обеспечением рассеивания выбросов вредных веществ в атмосферном воздухе до ПДК на территории жилой застройки.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2.3.13. Площадь застройки и размеры земельных участков для наземных стоянок следует принимать из расчета 25 кв. м на одно машино-место.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2.3.14. Выезды - въезды из закрытых отдельно стоящих, встроенных, встроенно-пристроенных автостоянок, автостоянок вместимостью более 50 машино-мест должны быть организованы на местную уличную сеть района и как исключение - на магистральные улицы.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2.3.15. Выезды - въезды из автостоянок вместимостью свыше 100 машино-мест, расположенных на территории жилой застройки, должны быть организованы на улично-дорожную сеть населенного пункта, исключая организацию движения автотранспорта по внутридворовым проездам, парковым дорогам и велосипедным дорожкам.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Подъезды к автостоянкам не должны пересекать основные пешеходные пути, должны быть изолированы от площадок для отдыха, игровых и спортивных площадок.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Наименьшие расстояния до въездов в автостоянки и выездов из них следует принимать: от перекрестков магистральных улиц - 50 м, улиц местного значения - 20 м, от остановочных пунктов общественного пассажирского транспорта - 30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Въезды в полуподземные автостоянки и выезды из них должны быть удалены от окон жилых зданий, рабочих помещений общественных зданий и участков общеобразовательных школ, дошкольных образовательных учреждений и лечебных учреждений не менее чем на 15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Расстояние от проездов автотранспорта из автостоянок всех типов до нормируемых объектов должно быть не менее 7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2.3.16. Открытые автостоянки для временного хранения (парковки) легковых автомобилей предусматриваются из расчета не менее чем для 70% расчетного парка индивидуальных легковых автомобилей, в том числе %: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жилые районы - 25;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производственные зоны - 25;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общегородские центры - 5;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зоны массового кратковременного отдыха - 15.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2.3.17. Требуемое расчетное количество машино-мест для парковки легковых автомобилей на стоянках у общественных зданий, учреждений, предприятий, вокзалов, на рекреационных территориях определено в соответствии с Региональными </w:t>
      </w:r>
      <w:hyperlink r:id="rId18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Орловской области, утвержденными постановлением Правительства Орловской области от 1 августа 2011 г. N 250.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2.3.18. Открытые наземные автостоянки проектируются в виде дополнительных полос на проезжей части и в пределах разделительных полос. Специальные полосы для стоянки автомобилей могут устраиваться вдоль основных проезжих частей местных и боковых проездов, жилых улиц, дорог в промышленных и коммунально-складских зонах, магистральных улиц с регулируемым движением транспорта.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Не допускается устройство специальных полос для стоянки автомобилей вдоль основных проезжих частей городских скоростных дорог и магистральных улиц с непрерывным движением транспорта.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Территория открытой автостоянки должна быть ограничена полосами зеленых насаждений шириной не менее 1 м, в стесненных условиях допускается ограничение стоянки сплошной линией разметки.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Территория автостоянки должна располагаться вне транспортных и пешеходных путей и обеспечиваться безопасным подходом пешеходов.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Ширина проездов на автостоянке при двухстороннем движении должна быть не менее 6 м, при одностороннем - не менее 3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2.3.19. При устройстве открытой автостоянки для парковки легковых автомобилей на отдельном участке ее размеры определяются средней площадью, занимаемой одним автомобилем, с учетом ширины разрывов и проездов, равной 30 кв. 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2.3.20. Расстояние пешеходных подходов от автостоянок для парковки легковых автомобилей следует принимать, </w:t>
      </w:r>
      <w:proofErr w:type="gramStart"/>
      <w:r>
        <w:t>м</w:t>
      </w:r>
      <w:proofErr w:type="gramEnd"/>
      <w:r>
        <w:t>, не более: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до входов в жилые здания - 100;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пассажирских помещений вокзалов, входов в места крупных учреждений торговли и общественного питания - 150;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прочих учреждений и предприятий обслуживания населения и административных зданий - 250;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входов в парки, на выставки и стадионы - 400.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2.3.21. Автостоянки ведомственных автомобилей и легковых автомобилей специального назначения, грузовых автомобилей, такси и проката, автобусные и троллейбусные парки, а также базы централизованного технического обслуживания и сезонного хранения автомобилей и пункты проката автомобилей размещаются в производственных зонах.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2.4. Обоснование расчетных показателей в отношении объектов дорожного сервиса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в отношении объектов дорожного сервиса определены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2.5. Обоснование расчетных показателей в отношении объектов оказания транспортных услуг населению и организации транспортного обслуживания населения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в отношении объектов оказания транспортных услуг населению и организации транспортного обслуживания населения определены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t xml:space="preserve">Моечные пункты автотранспорта размещаются как в составе предприятий по обслуживанию автомобилей (технического обслуживания и текущего ремонта подвижного состава: автотранспортные предприятия, их производственные и эксплуатационные филиалы, базы централизованного технического обслуживания, станции технического обслуживания легковых автомобилей, открытые площадки для </w:t>
      </w:r>
      <w:r>
        <w:lastRenderedPageBreak/>
        <w:t>хранения подвижного состава, гаражи-стоянки для хранения подвижного состава, топливозаправочные пункты), так и отдельностоящие в соответствии с требованиями СП 113.13330.2016.</w:t>
      </w:r>
      <w:proofErr w:type="gramEnd"/>
      <w:r>
        <w:t xml:space="preserve"> Свод правил. Стоянки автомобилей. Актуализированная редакция СНиП 21-02-99*.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t xml:space="preserve">Расчетные показатели в отношении объектов оказания транспортных услуг населению установлены 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2014 года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сооружений".</w:t>
      </w:r>
      <w:proofErr w:type="gramEnd"/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2.6. Обоснование расчетных показателей в отношении объектов, относящихся к областям физической культуры и массового спорта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объектов, относящихся к областям физической культуры и массового спорта, приняты на уровне, установленном в приложении</w:t>
      </w:r>
      <w:proofErr w:type="gramStart"/>
      <w:r>
        <w:t xml:space="preserve"> Д</w:t>
      </w:r>
      <w:proofErr w:type="gramEnd"/>
      <w: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Состав и площади физкультурно-спортивных сооружений определяются заданием на проектирование с учетом единовременной пропускной способности физкультурно-спортивных сооружений, численности тренеров-инструкторов, административных работников, подсобных рабочих, количества мест для зрителей в соответствии с требованиями СП 118.13330.2012, СП 31-112-2004, СП 31-112-2007, СП 31-115-2006.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При проектировании площадок и полей для спортивных игр следует ориентировать их продольными осями в направлении север - юг. Допустимое отклонение не должно превышать 20° в каждую из сторон. В условиях затесненной застройки ориентация спортивных сооружений не лимитируется.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Физкультурно-спортивные сооружения сети общего пользования следует объединять со спортивными объектами образовательных школ и других учебных заведений, учреждений отдыха и культуры с возможным сокращением территории.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2.7. Обоснование расчетных показателей в отношении объектов, относящихся к области образования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Расчетные показатели дошкольных образовательных организаций приняты на уровне расчетных показателей, установленных в </w:t>
      </w:r>
      <w:hyperlink r:id="rId20" w:history="1">
        <w:r>
          <w:rPr>
            <w:color w:val="0000FF"/>
          </w:rPr>
          <w:t>приложении 7</w:t>
        </w:r>
      </w:hyperlink>
      <w:r>
        <w:t xml:space="preserve"> Региональных нормативов градостроительного проектирования Орловской области.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Максимально допустимый уровень территориальной доступности принят на уровне, установленном в таблице 10.1 п. 10.4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Размеры земельных участков принимаются: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- при вместимости до 100 мест - 40 кв. м на место;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свыше 100 мест - 35 кв. м на место.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Размеры земельных участков могут быть уменьшены: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на 25% - в условиях реконструкции;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на 15% - при размещении на рельефе с уклоном более 20%.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Расчетные показатели общеобразовательных организаций приняты на уровне расчетных показателей, установленных в </w:t>
      </w:r>
      <w:hyperlink r:id="rId21" w:history="1">
        <w:r>
          <w:rPr>
            <w:color w:val="0000FF"/>
          </w:rPr>
          <w:t>разделе 13</w:t>
        </w:r>
      </w:hyperlink>
      <w:r>
        <w:t xml:space="preserve"> "Учреждения и предприятия социальной инфраструктуры" Региональных нормативов градостроительного проектирования Орловской области. Максимально допустимый уровень территориальной доступности принят на уровне, установленном таблицей 10.2 п. 10.5 СП 42.13330.2016 "СНиП 2.07.01-89* Градостроительство. Планировка и застройка городских и сельских поселений".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2.8. Обоснование расчетных показателей в отношении объектов, относящихся к области здравоохранения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приняты в соответствии с приложением</w:t>
      </w:r>
      <w:proofErr w:type="gramStart"/>
      <w:r>
        <w:t xml:space="preserve"> Д</w:t>
      </w:r>
      <w:proofErr w:type="gramEnd"/>
      <w: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 и Региональными </w:t>
      </w:r>
      <w:hyperlink r:id="rId22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Орловской области, утвержденными постановлением Правительства Орловской области от 01.08.2011 N 250.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Максимально допустимый уровень территориальной доступности объектов здравоохранения принят на уровне, установленном таблицей 10.1 п. 10.4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Радиус обслуживания населения учреждениями здравоохранения следует принимать не </w:t>
      </w:r>
      <w:proofErr w:type="gramStart"/>
      <w:r>
        <w:t>более указанного</w:t>
      </w:r>
      <w:proofErr w:type="gramEnd"/>
      <w:r>
        <w:t xml:space="preserve"> в таблице 10.1 п. 10.4 СП 42.13330.2016 "СНиП 2.07.01-89* Градостроительство. Планировка и застройка городских и сельских поселений".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2.9. Обоснование расчетных показателей в отношении объектов, относящихся к области сбора, вывоза, обработки, утилизации, обезвреживания, размещения твердых коммунальных отходов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2.9.1. Расчетные показатели в отношении объектов, относящихся к области сбора, вывоза, обработки, утилизации, обезвреживания, размещения твердых коммунальных отходов определены в соответствии с требованиями: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РФ от 10.01.2002 N 7-ФЗ "Об охране окружающей среды";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РФ от 24.06.1998 N 89-ФЗ "Об отходах производства и потребления";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РФ от 30.03.1999 N 52-ФЗ "О санитарно-эпидемиологическом благополучии населения";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СанПиН 42-128-4690-88</w:t>
        </w:r>
      </w:hyperlink>
      <w:r>
        <w:t>. Санитарные правила содержания территорий населенных мест;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 xml:space="preserve">- </w:t>
      </w:r>
      <w:hyperlink r:id="rId27" w:history="1">
        <w:r>
          <w:rPr>
            <w:color w:val="0000FF"/>
          </w:rPr>
          <w:t>СанПиН 2.1.2.2645-10</w:t>
        </w:r>
      </w:hyperlink>
      <w:r>
        <w:t>. Санитарно-эпидемиологические требования к условиям проживания в жилых зданиях и помещениях;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СанПиН 2.1.7.2790-10</w:t>
        </w:r>
      </w:hyperlink>
      <w:r>
        <w:t>. Санитарно-эпидемиологические требования к обращению с медицинскими отходами;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СП 42.13330.2016. Свод правил. Градостроительство. Планировка и застройка городских и сельских поселений. Актуализированная редакция СНиП 2.07.01-89*;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29" w:history="1">
        <w:r>
          <w:rPr>
            <w:color w:val="0000FF"/>
          </w:rPr>
          <w:t>Правил и норм</w:t>
        </w:r>
      </w:hyperlink>
      <w:r>
        <w:t xml:space="preserve"> технической эксплуатации жилищного фонда, утвержденных постановлением Госстроя России от 27.09.2003 N 170;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30" w:history="1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Орел", утвержденных решением Орловского городского Совета народных депутатов от 30.06.2011 N 5/0073-ГС.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2.9.2. Объекты размещения отходов производства проектируются в соответствии с требованиями: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СанПиН 2.1.7.1322-03</w:t>
        </w:r>
      </w:hyperlink>
      <w:r>
        <w:t>. 2.1.7. Почва. Очистка населенных мест, отходы производства и потребления, санитарная охрана почвы. Гигиенические требования к размещению и обезвреживанию отходов производства и потребления. Санитарно-эпидемиологические правила и нормативы;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СНиП 2.01.28-85. Полигоны по обезвреживанию и захоронению токсичных промышленных отходов. Основные положения по проектированию.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2.10. Обоснование расчетных показателей в отношении объектов, предназначенных для обеспечения первичных мер пожарной безопасности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t xml:space="preserve">Параметры расчета местных нормативов обеспечения первичных мер пожарной безопасности в целях осуществления полномочий органов местного самоуправления по обеспечению первичных мер пожарной безопасности города Орла определяются в соответствии с требованиями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РФ от 22 июля 2008 года N 123-ФЗ "Технический регламент о требованиях пожарной безопасности",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РФ от 21 декабря 1994 года N 69-ФЗ "О пожарной безопасности", Федерального </w:t>
      </w:r>
      <w:hyperlink r:id="rId34" w:history="1">
        <w:r>
          <w:rPr>
            <w:color w:val="0000FF"/>
          </w:rPr>
          <w:t>закона</w:t>
        </w:r>
        <w:proofErr w:type="gramEnd"/>
      </w:hyperlink>
      <w:r>
        <w:t xml:space="preserve"> РФ от 6 октября 2003 года N 131-ФЗ "Об общих принципах местного самоуправления в Российской Федерации", </w:t>
      </w:r>
      <w:hyperlink r:id="rId35" w:history="1">
        <w:r>
          <w:rPr>
            <w:color w:val="0000FF"/>
          </w:rPr>
          <w:t>СП 4.13130.2013</w:t>
        </w:r>
      </w:hyperlink>
      <w:r>
        <w:t xml:space="preserve">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На территории города через каждые 500 м береговой полосы рек и водоемов предусматривается устройство пожарных подъездов к берегу водоема (реки), обеспечивающих забор воды в любое время года не менее чем тремя автомобилями одновременно.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Количество объектов пожарной охраны и типа пожарных депо определяется согласно </w:t>
      </w:r>
      <w:hyperlink r:id="rId36" w:history="1">
        <w:r>
          <w:rPr>
            <w:color w:val="0000FF"/>
          </w:rPr>
          <w:t>приложению 7</w:t>
        </w:r>
      </w:hyperlink>
      <w:r>
        <w:t xml:space="preserve"> по НПБ 101-95 "Нормы проектирования объектов пожарной охраны".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2.11. Обоснование расчетных показателей в отношении объектов, предназначенных для создания условий обеспечения жителей услугами связи, общественного питания, торговли и бытового обслуживания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Расчет количества и вместимости учреждений и предприятий обслуживания, размеры их земельных участков выполняется по социальным нормативам обеспеченности согласно приложению</w:t>
      </w:r>
      <w:proofErr w:type="gramStart"/>
      <w:r>
        <w:t xml:space="preserve"> Д</w:t>
      </w:r>
      <w:proofErr w:type="gramEnd"/>
      <w:r>
        <w:t xml:space="preserve"> СП 42.13330.2016, нормативов, установленных постановлением Правительства Орловской области Федерации от 13.10.2016 N 291.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2.12. Обоснование расчетных показателей в отношении объектов библиотечного обслуживания населения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объектов библиотечного обслуживания населения приняты на основании показателей, установленных в приложении</w:t>
      </w:r>
      <w:proofErr w:type="gramStart"/>
      <w:r>
        <w:t xml:space="preserve"> Д</w:t>
      </w:r>
      <w:proofErr w:type="gramEnd"/>
      <w: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Количество единиц хранения, мест в читальном зале специальных библиотек определяется заданием на проектирование.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Дополнительно в центральной городской библиотеке на 1 тыс. жит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ринимается 0,1 тыс. ед. хранения и 0,1 читательских мест.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2.13. Обоснование расчетных показателей в отношении объектов организации культуры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учреждений и предприятий обслуживания и допустимый уровень территориальной доступности населения приняты на основании показателей, установленных в приложении</w:t>
      </w:r>
      <w:proofErr w:type="gramStart"/>
      <w:r>
        <w:t xml:space="preserve"> Д</w:t>
      </w:r>
      <w:proofErr w:type="gramEnd"/>
      <w: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2.14. Обоснование расчетных показателей в отношении объектов благоустройства, мест массового отдыха населения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2.14.1. Обеспеченность площадками дворового благоустройства (состав, количество и размеры), размещаемыми в кварталах (микрорайонах) жилых зон, рассчитывается с учетом демографического состава населения, типа застройки, природно-климатических и других местных условий.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При проектировании жилой застройки предусматривается размещение площадок, размеры которых следует принимать по данным </w:t>
      </w:r>
      <w:hyperlink r:id="rId37" w:history="1">
        <w:r>
          <w:rPr>
            <w:color w:val="0000FF"/>
          </w:rPr>
          <w:t>табл. 2.4 п. 2.4.6</w:t>
        </w:r>
      </w:hyperlink>
      <w:r>
        <w:t xml:space="preserve"> Региональных нормативов градостроительного проектирования Орловской области, а расстояния от них до жилых и общественных зданий - в соответствии с п. 7.5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2.14.2. Состав, размеры площадок благоустройства при проектировании жилой застройки и расстояния от них до жилых и общественных зданий принимается в соответствии с Региональными </w:t>
      </w:r>
      <w:hyperlink r:id="rId38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Орловской области.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2.14.3. Рекомендуемая минимальная обеспеченность озелененными территориями участков жилой, общественной и производственной застройки принимается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Суммарная площадь озелененных территорий общего пользования - парков, садов, бульваров, скверов, размещаемых на территории города Орла и жилых районов в соответствии с таблицей 9.2 п. 9.8 СП 42.13330.2016, должна быть не менее 16 м</w:t>
      </w:r>
      <w:proofErr w:type="gramStart"/>
      <w:r>
        <w:rPr>
          <w:vertAlign w:val="superscript"/>
        </w:rPr>
        <w:t>2</w:t>
      </w:r>
      <w:proofErr w:type="gramEnd"/>
      <w:r>
        <w:t>/чел.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2.14.4. Суммарная площадь озелененных территорий общего пользования на территории города принимается в соответствии с Региональными </w:t>
      </w:r>
      <w:hyperlink r:id="rId39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Орловской области.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Параметры баланса озелененных территорий общего пользования принимаются в соответствии с </w:t>
      </w:r>
      <w:hyperlink r:id="rId40" w:history="1">
        <w:r>
          <w:rPr>
            <w:color w:val="0000FF"/>
          </w:rPr>
          <w:t>п. 8.2.4 раздела 8.2</w:t>
        </w:r>
      </w:hyperlink>
      <w:r>
        <w:t xml:space="preserve"> Региональных нормативов градостроительного проектирования Орловской области.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2.14.5. В соответствии с п. 9.8 СП 42.13330.2016. Свод правил. Градостроительство. Планировка и застройка городских и сельских поселений. Актуализированная редакция СНиП 2.07.01-89* существующие массивы городских лесов преобразовываются в городские лесопарки и относить их дополнительно к озелененным территориям общего пользования исходя из расчета не более 5 м</w:t>
      </w:r>
      <w:proofErr w:type="gramStart"/>
      <w:r>
        <w:rPr>
          <w:vertAlign w:val="superscript"/>
        </w:rPr>
        <w:t>2</w:t>
      </w:r>
      <w:proofErr w:type="gramEnd"/>
      <w:r>
        <w:t>/чел.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При размещении парков и садов следует максимально сохранять участки с существующими насаждениями и водоемами.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2.15. Обоснование расчетных показателей в отношении муниципальных архивов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Расчетные показатели муниципальных архивов разработаны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22 октября 2004 года N 125-ФЗ "Об архивном деле в Российской Федерации".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2.16. Обоснование расчетных показателей в отношении муниципальных объектов, предназначенных для организации ритуальных услуг, мест захоронений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Нормативы размещения мест захоронения разработаны в соответствии с </w:t>
      </w:r>
      <w:hyperlink r:id="rId42" w:history="1">
        <w:r>
          <w:rPr>
            <w:color w:val="0000FF"/>
          </w:rPr>
          <w:t>СанПиН 2.1.2882-11</w:t>
        </w:r>
      </w:hyperlink>
      <w:r>
        <w:t xml:space="preserve"> "Гигиенические требования к размещению, устройству и содержанию кладбищ, зданий и сооружений похоронного назначения", требованиями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12.01.1996 N 8-ФЗ "О погребении и похоронном деле", </w:t>
      </w:r>
      <w:hyperlink r:id="rId44" w:history="1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 количества и площади объектов, предназначенных для организации ритуальных услуг, мест захоронения, размеров их земельных участков выполняется по социальным нормативам обеспеченности согласно приложению</w:t>
      </w:r>
      <w:proofErr w:type="gramStart"/>
      <w:r>
        <w:t xml:space="preserve"> Д</w:t>
      </w:r>
      <w:proofErr w:type="gramEnd"/>
      <w: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2.17. Обоснование расчетных показателей в отношении защитных сооружений, средств защиты территорий от чрезвычайных ситуаций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Правовым основанием для расчета показателей в отношении защитных сооружений, средств защиты территорий от чрезвычайных ситуаций является Федеральный </w:t>
      </w:r>
      <w:hyperlink r:id="rId45" w:history="1">
        <w:r>
          <w:rPr>
            <w:color w:val="0000FF"/>
          </w:rPr>
          <w:t>закон</w:t>
        </w:r>
      </w:hyperlink>
      <w:r>
        <w:t xml:space="preserve"> от 12.02.1998 N 28-ФЗ "О гражданской обороне",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 с учетом требований ГОСТ 22.0.07-97/ГОСТ </w:t>
      </w:r>
      <w:proofErr w:type="gramStart"/>
      <w:r>
        <w:t>Р</w:t>
      </w:r>
      <w:proofErr w:type="gramEnd"/>
      <w:r>
        <w:t xml:space="preserve"> 22.0.07-95.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lastRenderedPageBreak/>
        <w:t xml:space="preserve">Расчетные показатели установлены в соответствии с требованиями СП 116.13330.2012, СП 165.1325800.2014, СП 88.13130.2014,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22.07.2008 N 123-ФЗ "Технический регламент о требованиях пожарной безопасности", </w:t>
      </w:r>
      <w:hyperlink r:id="rId48" w:history="1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Федерации, утвержденных постановлением Правительства Российской Федерации от 25.04.2012 N 390, </w:t>
      </w:r>
      <w:hyperlink r:id="rId49" w:history="1">
        <w:r>
          <w:rPr>
            <w:color w:val="0000FF"/>
          </w:rPr>
          <w:t>Положения</w:t>
        </w:r>
      </w:hyperlink>
      <w:r>
        <w:t xml:space="preserve"> о системе оповещения населения, утвержденного совместными приказами МЧС РФ N 422, Мининформсвязи РФ N 90, Минкультуры РФ N 376</w:t>
      </w:r>
      <w:proofErr w:type="gramEnd"/>
      <w:r>
        <w:t xml:space="preserve"> от 25.07.2006.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Расчетные показатели в сфере инженерной защиты от действующих факторов природного риска установлены в соответствии с СП 47.13330.2012, СП 58.13330.2012, СП 104.13330.2016, СП 116.13330.2012.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Мероприятия по защите территории города от затопления и подтопления установлены в соответствии с СП 58.13330.2012, СП 104.13330.2016, СП 116.13330.2012.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Проектирование набережных и берегозащитных сооружений осуществляется с учетом требований СП 116.13330.2012.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Выбор вида берегозащитных сооружений и мероприятий или их комплекса осуществляется в зависимости от назначения и режима использования защищаемого участка берега с учетом в необходимых случаях требований водопользования.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Сооружения и мероприятия по защите на просадочных грунтах проектируются в соответствии с требованиями СП 21.13330.2012.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2.18. Обоснование расчетных показателей объектов, предназначенных для создания условий расширения рынка сельскохозяйственной продукции, сырья и продовольствия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Расчетные показатели приняты согласно СП 42.13330.2016. Свод правил. Градостроительство. Планировка и застройка городских и сельских поселений. Актуализированная редакция СНиП 2.07.01-89*, в соответствии с </w:t>
      </w:r>
      <w:proofErr w:type="gramStart"/>
      <w:r>
        <w:t>которыми</w:t>
      </w:r>
      <w:proofErr w:type="gramEnd"/>
      <w:r>
        <w:t xml:space="preserve"> уровень обеспеченности принимается в зависимости от климатических условий и региональных особенностей.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Соотношение площади для круглогодичной и сезонной торговли устанавливается заданием на проектирование.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1"/>
      </w:pPr>
      <w:r>
        <w:t>Раздел 3. Правила и область применения расчетных показателей, содержащихся в основной части нормативов градостроительного проектирования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градостроительного проектирования города Орла разработаны в целях:</w:t>
      </w:r>
    </w:p>
    <w:p w:rsidR="004A66AA" w:rsidRDefault="004A66AA">
      <w:pPr>
        <w:spacing w:before="240" w:after="1" w:line="240" w:lineRule="atLeast"/>
        <w:ind w:firstLine="540"/>
        <w:jc w:val="both"/>
      </w:pPr>
      <w:proofErr w:type="gramStart"/>
      <w:r>
        <w:t>- создания условий для реализации определенных законодательством Российской Федерации социальных гарантий граждан в части обеспечения объектами социального и культурно-бытового обслуживания, инженерной и транспортной инфраструктур и благоустройства;</w:t>
      </w:r>
      <w:proofErr w:type="gramEnd"/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установления минимальных расчетных </w:t>
      </w:r>
      <w:proofErr w:type="gramStart"/>
      <w:r>
        <w:t>показателей уровня обеспечения благоприятных условий жизнедеятельности</w:t>
      </w:r>
      <w:proofErr w:type="gramEnd"/>
      <w:r>
        <w:t xml:space="preserve"> населения, основных параметров земельных участков и объектов капитального строительства, предупреждения и устранения вредного воздействия на население факторов среды обитания.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Местные нормативы разработаны в соответствии с законодательством Российской Федерации, Орловской области с учетом территориальных, природных, исторических, социально-экономических и иных особенностей города Орла.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содержат совокупность расчетных показателей минимально допустимого уровня обеспеченности объектами местного значения города, относящимися к объектам социальной инфраструктуры, объектам благоустройства территории, иным объектами местного значения и обоснованных расчетных показателей максимально допустимого уровня территориальной доступности таких объектов для населения муниципального образования "Город Орел".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3.1. Правила применения местных нормативов, включая состав нормируемых показателей, применяемых при разработке документов территориального планирования и документации по планировке территорий, норм и правил по благоустройству территорий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Нормативная потребность муниципального образования в объектах обслуживания населения рассчитывается с учетом суммарной мощности расположенных на территории города таких объектов всех форм собственности. В составе проектов документов территориального планирования и документации по планировке территории при определении нормативной потребности в объектах социального и культурно-бытового обслуживания населения учитываются сведения о наличии действующих объектов обслуживания их проектной вместимости, наличии резерва проектной вместимости, а также о техническом состоянии муниципальных объектов капитального строительства (потребность в реконструкции).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Размещение объектов обслуживания населения повседневного, периодического пользования в районах многоквартирной жилой застройки предусматривается с учетом основных планировочных элементов застройки микрорайона (квартала). Размер территории микрорайона (квартала), как правило, от 5 до 60 га. Основанием для определения размера являются радиусы доступности объектов повседневного пользования, требования к проектированию улично-дорожной сети, типам застройки, требования пожарной безопасности, оптимальная конфигурация земельного участка.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Объекты повседневного пользования: детские сады, школы, продовольственные магазины - необходимо размещать в границах жилого квартала (микрорайона). В случае отсутствия на территории микрорайона (квартала) объектов повседневного пользования допускается их размещение в близлежащих планировочных элементах с учетом максимально допустимого уровня пешеходной доступности - 650 метров.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Объекты периодического пользования следует размещать в жилой застройке в пределах максимально допустимого уровня пешеходной доступности - 1000 метров.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При величине микрорайона (квартала) более 9 га для обеспечения радиуса пешеходной доступности объекты повседневного пользования размещаются в центральной части квартала. Данный размер позволяет разместить на внутриквартальной территории объекты повседневного и периодического пользования с учетом норм обеспеченности, необходимых площадей для размещения объектов и нормативных расстояний пешеходной доступности. Также должны учитываться нормы озеленения, обеспечения автомобильными стоянками, детскими игровыми, спортивными, хозяйственными площадками на внутриквартальной территории. При величине микрорайона (квартала) более 9 га предусматривается размещение объектов повседневного и периодического пользования в равной доступности для всех жителей территории в границах элемента планировочной структуры.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 xml:space="preserve">Расчет основных </w:t>
      </w:r>
      <w:proofErr w:type="gramStart"/>
      <w:r>
        <w:t>параметров развития объектов обслуживания населения</w:t>
      </w:r>
      <w:proofErr w:type="gramEnd"/>
      <w:r>
        <w:t xml:space="preserve"> выполняется с учетом следующих требований: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в составе генерального плана, проекта внесения изменений в генеральный план осуществляется расчет нормативной </w:t>
      </w:r>
      <w:proofErr w:type="gramStart"/>
      <w:r>
        <w:t>потребности проектной вместимости объектов обслуживания населения</w:t>
      </w:r>
      <w:proofErr w:type="gramEnd"/>
      <w:r>
        <w:t xml:space="preserve"> и оценка количества и местоположения планируемых объектов обслуживания населения с учетом радиусов обслуживания и с указанием параметров их развития;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в составе проектов планировки, проекта внесения изменений в проект планировки уточняется оценка потребности проектной вместимости в объектах обслуживания населения, предусмотренных генеральным планом, предлагаются объекты обслуживания населения коммерческого назначения, а также выполняется расчет требуемой площади земельных участков для объектов обслуживания населения.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  <w:outlineLvl w:val="2"/>
      </w:pPr>
      <w:r>
        <w:t>3.2. Область применения расчетных показателей местных нормативов градостроительного проектирования муниципального образования "Город Орел"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применяются совместно с техническими регламентами и сводами правил, СНиПами и отраслевыми нормативными документами, действующими в сфере градостроительства.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обязательны для исполнения всеми субъектами градостроительной деятельности, осуществляющими свою деятельность на территории города Орла, независимо от их организационно-правовой формы.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Местные нормативы применяются при подготовке, согласовании, утверждении и внесении изменений </w:t>
      </w:r>
      <w:proofErr w:type="gramStart"/>
      <w:r>
        <w:t>в</w:t>
      </w:r>
      <w:proofErr w:type="gramEnd"/>
      <w:r>
        <w:t>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Генеральный </w:t>
      </w:r>
      <w:hyperlink r:id="rId50" w:history="1">
        <w:r>
          <w:rPr>
            <w:color w:val="0000FF"/>
          </w:rPr>
          <w:t>план</w:t>
        </w:r>
      </w:hyperlink>
      <w:r>
        <w:t xml:space="preserve"> города Орла;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Правила</w:t>
        </w:r>
      </w:hyperlink>
      <w:r>
        <w:t xml:space="preserve"> землепользования и застройки муниципального образования "Город Орел";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проекты планировки территорий;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проекты межевания территорий;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 принятии решений о развитии застроенных территорий, разработке условий аукционов на право заключения договора о развитии застроенных территорий;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 разработке и утверждении программ комплексного развития систем коммунальной инфраструктуры города, программ комплексного развития транспортной инфраструктуры, программ комплексного развития социальной инфраструктуры;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 подготовке документов в сфере строительства и реконструкции объектов капитального строительства, материалов по обоснованию таких документов, выполняемых в следующих областях: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электро-, тепл</w:t>
      </w:r>
      <w:proofErr w:type="gramStart"/>
      <w:r>
        <w:t>о-</w:t>
      </w:r>
      <w:proofErr w:type="gramEnd"/>
      <w:r>
        <w:t>, газо- и водоснабжение населения, водоотведение;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автомобильные дороги местного значения;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lastRenderedPageBreak/>
        <w:t>- физическая культура и массовый спорт, образование, здравоохранение, утилизация и переработка бытовых и промышленных отходов;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благоустройства территории, а также иных объектов местного значения, необходимых для реализации полномочий местного значения города;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иных документов, в составе которых выполняются расчеты (и/или проектирование) объемов развития объектов капитального строительства и иных объектов местного значения города в указанных областях;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 подготовке задания на выполнение работ по проектированию, строительству и реконструкции объектов капитального строительства;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- при ведении информационной системы обеспечения градостроительной деятельности, осуществляемой на территории города.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Местные нормативы учитываются при проведении государственной экспертизы, подготовке градостроительных планов земельных участков, подготовке и рассмотрении проектной документации для строительства, реконструкции, капитального ремонта объектов капитального строительства, в том числе линейных объектов, иных случаях.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По вопросам, не рассматриваемым в настоящих местных нормативах, следует руководствоваться законами и нормативно-техническими документами, действующими на территории Российской Федерации. При отмене и (или) изменении действующих нормативных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 xml:space="preserve">В случае если в границах муниципального образования установлены зоны охраны объектов культурного наследия, в границах зон охраны действует особый режим использования земель и параметры застройки и землепользования, установленные проектами зон охраны объектов культурного наследия. Параметры, установленные местными нормативами градостроительного проектирования, распространяются </w:t>
      </w:r>
      <w:proofErr w:type="gramStart"/>
      <w:r>
        <w:t>на те</w:t>
      </w:r>
      <w:proofErr w:type="gramEnd"/>
      <w:r>
        <w:t xml:space="preserve"> аспекты, которые не противоречат проектам зон охраны. В случае </w:t>
      </w:r>
      <w:proofErr w:type="gramStart"/>
      <w:r>
        <w:t>утверждения проекта зон охраны объектов культурного наследия</w:t>
      </w:r>
      <w:proofErr w:type="gramEnd"/>
      <w:r>
        <w:t xml:space="preserve"> любое проектирование, затрагивающее территорию проекта зон охраны, требует получения задания на проектирование и согласования с уполномоченным органом государственной власти в области охраны и сохранения объектов культурного наследия Орловской области.</w:t>
      </w:r>
    </w:p>
    <w:p w:rsidR="004A66AA" w:rsidRDefault="004A66AA">
      <w:pPr>
        <w:spacing w:before="240" w:after="1" w:line="240" w:lineRule="atLeast"/>
        <w:ind w:firstLine="540"/>
        <w:jc w:val="both"/>
      </w:pPr>
      <w:r>
        <w:t>Действие местных нормативов градостроительного проектирования не распространяется на реконструкцию объектов, включенных в единый государственный реестр объектов культурного наследия (памятников истории и культуры) народов Российской Федерации, а также объектов, которые являются выявленными объектами культурного наследия. Решения о режиме содержания, параметрах реставрации, консервации, воссоздания, ремонта и приспособлении данных объектов принимаются в порядке, установленном законодательством Российской Федерации об охране объектов культурного наследия.</w:t>
      </w: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spacing w:after="1" w:line="240" w:lineRule="atLeast"/>
        <w:ind w:firstLine="540"/>
        <w:jc w:val="both"/>
      </w:pPr>
    </w:p>
    <w:p w:rsidR="004A66AA" w:rsidRDefault="004A66A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412" w:rsidRDefault="00DE7412">
      <w:bookmarkStart w:id="3" w:name="_GoBack"/>
      <w:bookmarkEnd w:id="3"/>
    </w:p>
    <w:sectPr w:rsidR="00DE7412" w:rsidSect="00EC2D1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19"/>
    <w:rsid w:val="00003E09"/>
    <w:rsid w:val="00025D5A"/>
    <w:rsid w:val="003606DD"/>
    <w:rsid w:val="004048F4"/>
    <w:rsid w:val="004A66AA"/>
    <w:rsid w:val="004C776A"/>
    <w:rsid w:val="007E0E6A"/>
    <w:rsid w:val="0088342A"/>
    <w:rsid w:val="008D0E19"/>
    <w:rsid w:val="00C72611"/>
    <w:rsid w:val="00D82F8F"/>
    <w:rsid w:val="00DE7412"/>
    <w:rsid w:val="00E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11E0CC4994A9052ED4387CC6493DA61629A82EDEC02C85D37A25E4733D356426BD8D8AF295364263ADFA28D4M" TargetMode="External"/><Relationship Id="rId18" Type="http://schemas.openxmlformats.org/officeDocument/2006/relationships/hyperlink" Target="consultantplus://offline/ref=A711E0CC4994A9052ED4387CC6493DA61629A82EDEC02C85D37A25E4733D356426BD8D8AF295364263ADFA28D4M" TargetMode="External"/><Relationship Id="rId26" Type="http://schemas.openxmlformats.org/officeDocument/2006/relationships/hyperlink" Target="consultantplus://offline/ref=A711E0CC4994A9052ED42671D02562A91022F72BD5C52FDA88257EB92423D4M" TargetMode="External"/><Relationship Id="rId39" Type="http://schemas.openxmlformats.org/officeDocument/2006/relationships/hyperlink" Target="consultantplus://offline/ref=A711E0CC4994A9052ED4387CC6493DA61629A82EDEC02C85D37A25E4733D356426BD8D8AF295364263ADFA28D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11E0CC4994A9052ED4387CC6493DA61629A82EDEC02C85D37A25E4733D356426BD8D8AF295364267ACFE28D9M" TargetMode="External"/><Relationship Id="rId34" Type="http://schemas.openxmlformats.org/officeDocument/2006/relationships/hyperlink" Target="consultantplus://offline/ref=A711E0CC4994A9052ED42671D02562A91222F724DCC62FDA88257EB92423D4M" TargetMode="External"/><Relationship Id="rId42" Type="http://schemas.openxmlformats.org/officeDocument/2006/relationships/hyperlink" Target="consultantplus://offline/ref=A711E0CC4994A9052ED42671D02562A91023FF23DDC32FDA88257EB924343F3361F2D4C8B698374326D1M" TargetMode="External"/><Relationship Id="rId47" Type="http://schemas.openxmlformats.org/officeDocument/2006/relationships/hyperlink" Target="consultantplus://offline/ref=A711E0CC4994A9052ED42671D02562A91320F727DFC52FDA88257EB92423D4M" TargetMode="External"/><Relationship Id="rId50" Type="http://schemas.openxmlformats.org/officeDocument/2006/relationships/hyperlink" Target="consultantplus://offline/ref=A711E0CC4994A9052ED4387CC6493DA61629A82EDDC62085D67A25E4733D356426BD8D8AF295364263ADFB28DDM" TargetMode="External"/><Relationship Id="rId7" Type="http://schemas.openxmlformats.org/officeDocument/2006/relationships/hyperlink" Target="consultantplus://offline/ref=A711E0CC4994A9052ED42671D02562A9132AF121D8C32FDA88257EB924343F3361F2D4C8B6993F4726D4M" TargetMode="External"/><Relationship Id="rId12" Type="http://schemas.openxmlformats.org/officeDocument/2006/relationships/hyperlink" Target="consultantplus://offline/ref=A711E0CC4994A9052ED42671D02562A91024F526D8C62FDA88257EB924343F3361F2D4C8B698374326D0M" TargetMode="External"/><Relationship Id="rId17" Type="http://schemas.openxmlformats.org/officeDocument/2006/relationships/hyperlink" Target="consultantplus://offline/ref=A711E0CC4994A9052ED4387CC6493DA61629A82EDEC02C85D37A25E4733D356426BD8D8AF295364262A4FD28D8M" TargetMode="External"/><Relationship Id="rId25" Type="http://schemas.openxmlformats.org/officeDocument/2006/relationships/hyperlink" Target="consultantplus://offline/ref=A711E0CC4994A9052ED42671D02562A9132BF022D9C12FDA88257EB92423D4M" TargetMode="External"/><Relationship Id="rId33" Type="http://schemas.openxmlformats.org/officeDocument/2006/relationships/hyperlink" Target="consultantplus://offline/ref=A711E0CC4994A9052ED42671D02562A91320F720D9C32FDA88257EB92423D4M" TargetMode="External"/><Relationship Id="rId38" Type="http://schemas.openxmlformats.org/officeDocument/2006/relationships/hyperlink" Target="consultantplus://offline/ref=A711E0CC4994A9052ED4387CC6493DA61629A82EDEC02C85D37A25E4733D356426BD8D8AF295364263ADFA28D4M" TargetMode="External"/><Relationship Id="rId46" Type="http://schemas.openxmlformats.org/officeDocument/2006/relationships/hyperlink" Target="consultantplus://offline/ref=A711E0CC4994A9052ED42671D02562A91322F622DEC42FDA88257EB92423D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11E0CC4994A9052ED42671D02562A91023F725DCCC2FDA88257EB92423D4M" TargetMode="External"/><Relationship Id="rId20" Type="http://schemas.openxmlformats.org/officeDocument/2006/relationships/hyperlink" Target="consultantplus://offline/ref=A711E0CC4994A9052ED4387CC6493DA61629A82EDEC02C85D37A25E4733D356426BD8D8AF295364266AFF228DDM" TargetMode="External"/><Relationship Id="rId29" Type="http://schemas.openxmlformats.org/officeDocument/2006/relationships/hyperlink" Target="consultantplus://offline/ref=A711E0CC4994A9052ED42671D02562A91526F124DECE72D0807C72BB233B602466BBD8C9B6983624D0M" TargetMode="External"/><Relationship Id="rId41" Type="http://schemas.openxmlformats.org/officeDocument/2006/relationships/hyperlink" Target="consultantplus://offline/ref=A711E0CC4994A9052ED42671D02562A9132AF026DFC32FDA88257EB92423D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11E0CC4994A9052ED42671D02562A9132AF121D8C32FDA88257EB924343F3361F2D4C8B698374526D2M" TargetMode="External"/><Relationship Id="rId11" Type="http://schemas.openxmlformats.org/officeDocument/2006/relationships/hyperlink" Target="consultantplus://offline/ref=A711E0CC4994A9052ED42671D02562A91021F627DCCE72D0807C72BB233B602466BBD8C9B6983624D1M" TargetMode="External"/><Relationship Id="rId24" Type="http://schemas.openxmlformats.org/officeDocument/2006/relationships/hyperlink" Target="consultantplus://offline/ref=A711E0CC4994A9052ED42671D02562A9132AF220DFC32FDA88257EB92423D4M" TargetMode="External"/><Relationship Id="rId32" Type="http://schemas.openxmlformats.org/officeDocument/2006/relationships/hyperlink" Target="consultantplus://offline/ref=A711E0CC4994A9052ED42671D02562A91320F727DFC52FDA88257EB92423D4M" TargetMode="External"/><Relationship Id="rId37" Type="http://schemas.openxmlformats.org/officeDocument/2006/relationships/hyperlink" Target="consultantplus://offline/ref=A711E0CC4994A9052ED4387CC6493DA61629A82EDEC02C85D37A25E4733D356426BD8D8AF295364263AFFC28DCM" TargetMode="External"/><Relationship Id="rId40" Type="http://schemas.openxmlformats.org/officeDocument/2006/relationships/hyperlink" Target="consultantplus://offline/ref=A711E0CC4994A9052ED4387CC6493DA61629A82EDEC02C85D37A25E4733D356426BD8D8AF295364261A4F928DBM" TargetMode="External"/><Relationship Id="rId45" Type="http://schemas.openxmlformats.org/officeDocument/2006/relationships/hyperlink" Target="consultantplus://offline/ref=A711E0CC4994A9052ED42671D02562A9102BF724DAC22FDA88257EB92423D4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711E0CC4994A9052ED42671D02562A91820F622DACE72D0807C72BB22D3M" TargetMode="External"/><Relationship Id="rId23" Type="http://schemas.openxmlformats.org/officeDocument/2006/relationships/hyperlink" Target="consultantplus://offline/ref=A711E0CC4994A9052ED42671D02562A9132AF122DDC42FDA88257EB92423D4M" TargetMode="External"/><Relationship Id="rId28" Type="http://schemas.openxmlformats.org/officeDocument/2006/relationships/hyperlink" Target="consultantplus://offline/ref=A711E0CC4994A9052ED42671D02562A91023F62AD8CD2FDA88257EB924343F3361F2D4C8B698374326D2M" TargetMode="External"/><Relationship Id="rId36" Type="http://schemas.openxmlformats.org/officeDocument/2006/relationships/hyperlink" Target="consultantplus://offline/ref=A711E0CC4994A9052ED42671D02562A91321FF2BDDCC2FDA88257EB924343F3361F2D4C8B698354326D7M" TargetMode="External"/><Relationship Id="rId49" Type="http://schemas.openxmlformats.org/officeDocument/2006/relationships/hyperlink" Target="consultantplus://offline/ref=A711E0CC4994A9052ED42671D02562A91720F122DACE72D0807C72BB233B602466BBD8C9B6983624D1M" TargetMode="External"/><Relationship Id="rId10" Type="http://schemas.openxmlformats.org/officeDocument/2006/relationships/hyperlink" Target="consultantplus://offline/ref=A711E0CC4994A9052ED42671D02562A91322FE26D9C52FDA88257EB924343F3361F2D4C8B698374326D0M" TargetMode="External"/><Relationship Id="rId19" Type="http://schemas.openxmlformats.org/officeDocument/2006/relationships/hyperlink" Target="consultantplus://offline/ref=A711E0CC4994A9052ED42671D02562A91322FE26D9C52FDA88257EB92423D4M" TargetMode="External"/><Relationship Id="rId31" Type="http://schemas.openxmlformats.org/officeDocument/2006/relationships/hyperlink" Target="consultantplus://offline/ref=A711E0CC4994A9052ED42671D02562A91520F421D4CE72D0807C72BB233B602466BBD8C9B6983624D0M" TargetMode="External"/><Relationship Id="rId44" Type="http://schemas.openxmlformats.org/officeDocument/2006/relationships/hyperlink" Target="consultantplus://offline/ref=A711E0CC4994A9052ED42671D02562A91024F526D8C62FDA88257EB924343F3361F2D4C8B698374326D0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11E0CC4994A9052ED4387CC6493DA61629A82ED9C0268DD67A25E4733D356422D6M" TargetMode="External"/><Relationship Id="rId14" Type="http://schemas.openxmlformats.org/officeDocument/2006/relationships/hyperlink" Target="consultantplus://offline/ref=A711E0CC4994A9052ED42671D02562A9102BF127D5C32FDA88257EB92423D4M" TargetMode="External"/><Relationship Id="rId22" Type="http://schemas.openxmlformats.org/officeDocument/2006/relationships/hyperlink" Target="consultantplus://offline/ref=A711E0CC4994A9052ED4387CC6493DA61629A82EDEC02C85D37A25E4733D356426BD8D8AF295364263ADFA28D4M" TargetMode="External"/><Relationship Id="rId27" Type="http://schemas.openxmlformats.org/officeDocument/2006/relationships/hyperlink" Target="consultantplus://offline/ref=A711E0CC4994A9052ED42671D02562A91023F721D9C42FDA88257EB924343F3361F2D4C8B698374326D1M" TargetMode="External"/><Relationship Id="rId30" Type="http://schemas.openxmlformats.org/officeDocument/2006/relationships/hyperlink" Target="consultantplus://offline/ref=A711E0CC4994A9052ED4387CC6493DA61629A82ED9C02389DD7A25E4733D356426BD8D8AF295364263ADFB28DEM" TargetMode="External"/><Relationship Id="rId35" Type="http://schemas.openxmlformats.org/officeDocument/2006/relationships/hyperlink" Target="consultantplus://offline/ref=A711E0CC4994A9052ED42671D02562A91027F625D4C52FDA88257EB924343F3361F2D4C8B698374226D7M" TargetMode="External"/><Relationship Id="rId43" Type="http://schemas.openxmlformats.org/officeDocument/2006/relationships/hyperlink" Target="consultantplus://offline/ref=A711E0CC4994A9052ED42671D02562A9132BF425D4C22FDA88257EB92423D4M" TargetMode="External"/><Relationship Id="rId48" Type="http://schemas.openxmlformats.org/officeDocument/2006/relationships/hyperlink" Target="consultantplus://offline/ref=A711E0CC4994A9052ED42671D02562A9132AF120DBC62FDA88257EB924343F3361F2D4C8B698374226DAM" TargetMode="External"/><Relationship Id="rId8" Type="http://schemas.openxmlformats.org/officeDocument/2006/relationships/hyperlink" Target="consultantplus://offline/ref=A711E0CC4994A9052ED42671D02562A91222F724DCC62FDA88257EB92423D4M" TargetMode="External"/><Relationship Id="rId51" Type="http://schemas.openxmlformats.org/officeDocument/2006/relationships/hyperlink" Target="consultantplus://offline/ref=A711E0CC4994A9052ED4387CC6493DA61629A82ED9C32585D57A25E4733D356426BD8D8AF295364263ADFB28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11182</Words>
  <Characters>63738</Characters>
  <Application>Microsoft Office Word</Application>
  <DocSecurity>0</DocSecurity>
  <Lines>531</Lines>
  <Paragraphs>149</Paragraphs>
  <ScaleCrop>false</ScaleCrop>
  <Company>Microsoft</Company>
  <LinksUpToDate>false</LinksUpToDate>
  <CharactersWithSpaces>74771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User(Dell)</dc:creator>
  <cp:keywords/>
  <dc:description/>
  <cp:lastModifiedBy>User(Dell)</cp:lastModifiedBy>
  <cp:revision>2</cp:revision>
  <dcterms:created xsi:type="dcterms:W3CDTF">2018-07-30T12:03:00Z</dcterms:created>
  <dcterms:modified xsi:type="dcterms:W3CDTF">2018-07-30T12:04:00Z</dcterms:modified>
</cp:coreProperties>
</file>