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4BE" w:rsidRDefault="00C334B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334BE" w:rsidRDefault="00C334BE">
      <w:pPr>
        <w:pStyle w:val="ConsPlusNormal"/>
        <w:ind w:firstLine="540"/>
        <w:jc w:val="both"/>
        <w:outlineLvl w:val="0"/>
      </w:pPr>
    </w:p>
    <w:p w:rsidR="00C334BE" w:rsidRDefault="00C334BE">
      <w:pPr>
        <w:pStyle w:val="ConsPlusTitle"/>
        <w:jc w:val="center"/>
        <w:outlineLvl w:val="0"/>
      </w:pPr>
      <w:r>
        <w:t>АДМИНИСТРАЦИЯ ГОРОДА ОРЛА</w:t>
      </w:r>
    </w:p>
    <w:p w:rsidR="00C334BE" w:rsidRDefault="00C334BE">
      <w:pPr>
        <w:pStyle w:val="ConsPlusTitle"/>
        <w:jc w:val="center"/>
      </w:pPr>
    </w:p>
    <w:p w:rsidR="00C334BE" w:rsidRDefault="00C334BE">
      <w:pPr>
        <w:pStyle w:val="ConsPlusTitle"/>
        <w:jc w:val="center"/>
      </w:pPr>
      <w:r>
        <w:t>ПОСТАНОВЛЕНИЕ</w:t>
      </w:r>
    </w:p>
    <w:p w:rsidR="00C334BE" w:rsidRDefault="00C334BE">
      <w:pPr>
        <w:pStyle w:val="ConsPlusTitle"/>
        <w:jc w:val="center"/>
      </w:pPr>
      <w:r>
        <w:t>от 12 января 2024 г. N 70</w:t>
      </w:r>
    </w:p>
    <w:p w:rsidR="00C334BE" w:rsidRDefault="00C334BE">
      <w:pPr>
        <w:pStyle w:val="ConsPlusTitle"/>
        <w:jc w:val="center"/>
      </w:pPr>
    </w:p>
    <w:p w:rsidR="00C334BE" w:rsidRDefault="00C334BE">
      <w:pPr>
        <w:pStyle w:val="ConsPlusTitle"/>
        <w:jc w:val="center"/>
      </w:pPr>
      <w:r>
        <w:t>О НАЗНАЧЕНИИ РЕЙТИНГОВОГО ГОЛОСОВАНИЯ</w:t>
      </w:r>
    </w:p>
    <w:p w:rsidR="00C334BE" w:rsidRDefault="00C334BE">
      <w:pPr>
        <w:pStyle w:val="ConsPlusTitle"/>
        <w:jc w:val="center"/>
      </w:pPr>
      <w:r>
        <w:t>ПО ВЫБОРУ ОБЩЕСТВЕННЫХ ТЕРРИТОРИЙ МУНИЦИПАЛЬНОГО ОБРАЗОВАНИЯ</w:t>
      </w:r>
    </w:p>
    <w:p w:rsidR="00C334BE" w:rsidRDefault="00C334BE">
      <w:pPr>
        <w:pStyle w:val="ConsPlusTitle"/>
        <w:jc w:val="center"/>
      </w:pPr>
      <w:r>
        <w:t>"ГОРОД ОРЕЛ", ПОДЛЕЖАЩИХ БЛАГОУСТРОЙСТВУ В ПЕРВООЧЕРЕДНОМ</w:t>
      </w:r>
    </w:p>
    <w:p w:rsidR="00C334BE" w:rsidRDefault="00C334BE">
      <w:pPr>
        <w:pStyle w:val="ConsPlusTitle"/>
        <w:jc w:val="center"/>
      </w:pPr>
      <w:r>
        <w:t>ПОРЯДКЕ В 2025 ГОДУ</w:t>
      </w:r>
    </w:p>
    <w:p w:rsidR="00C334BE" w:rsidRDefault="00C334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334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4BE" w:rsidRDefault="00C334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4BE" w:rsidRDefault="00C334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34BE" w:rsidRDefault="00C334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34BE" w:rsidRDefault="00C334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C334BE" w:rsidRDefault="00C334BE">
            <w:pPr>
              <w:pStyle w:val="ConsPlusNormal"/>
              <w:jc w:val="center"/>
            </w:pPr>
            <w:r>
              <w:rPr>
                <w:color w:val="392C69"/>
              </w:rPr>
              <w:t>от 16.01.2024 N 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4BE" w:rsidRDefault="00C334BE">
            <w:pPr>
              <w:pStyle w:val="ConsPlusNormal"/>
            </w:pPr>
          </w:p>
        </w:tc>
      </w:tr>
    </w:tbl>
    <w:p w:rsidR="00C334BE" w:rsidRDefault="00C334BE">
      <w:pPr>
        <w:pStyle w:val="ConsPlusNormal"/>
        <w:ind w:firstLine="540"/>
        <w:jc w:val="both"/>
      </w:pPr>
    </w:p>
    <w:p w:rsidR="00C334BE" w:rsidRDefault="00C334B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Орловской области от 31.08.2017 N 372 "Об утверждении государственной программы Орловской области "Формирование современной городской среды на территории Орловской области",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Орловской области от 31.01.2019 N 46 "Об утверждении Порядка организации и проведения рейтингового голосования по выбору общественных территорий, подлежащих благоустройству в первоочередном порядке",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24.01.2019 N 188/1 "О порядке организации и проведения рейтингового голосования по выбору общественных территорий муниципального образования "Город Орел", подлежащих благоустройству в первоочередном порядке", руководствуясь </w:t>
      </w:r>
      <w:hyperlink r:id="rId9">
        <w:r>
          <w:rPr>
            <w:color w:val="0000FF"/>
          </w:rPr>
          <w:t>статьей 22</w:t>
        </w:r>
      </w:hyperlink>
      <w:r>
        <w:t xml:space="preserve"> Устава города Орла, администрация города Орла постановляет:</w:t>
      </w:r>
    </w:p>
    <w:p w:rsidR="00C334BE" w:rsidRDefault="00C334BE">
      <w:pPr>
        <w:pStyle w:val="ConsPlusNormal"/>
        <w:ind w:firstLine="540"/>
        <w:jc w:val="both"/>
      </w:pPr>
    </w:p>
    <w:p w:rsidR="00C334BE" w:rsidRDefault="00C334BE">
      <w:pPr>
        <w:pStyle w:val="ConsPlusNormal"/>
        <w:ind w:firstLine="540"/>
        <w:jc w:val="both"/>
      </w:pPr>
      <w:r>
        <w:t>1. Назначить проведение в период с 15.03.2024 по 30.04.2024 рейтингового голосования по выбору общественных территорий муниципального образования "Город Орел", подлежащих благоустройству в первоочередном порядке в 2025 году в рамках реализации муниципальной программы "Формирование современной городской среды на территории города Орла", в электронной форме в информационно-телекоммуникационной сети Интернет на единой федеральной платформе для онлайн-голосования граждан (далее - рейтинговое голосование).</w:t>
      </w:r>
    </w:p>
    <w:p w:rsidR="00C334BE" w:rsidRDefault="00C334B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города Орла от 16.01.2024 N 84)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9">
        <w:r>
          <w:rPr>
            <w:color w:val="0000FF"/>
          </w:rPr>
          <w:t>Перечень</w:t>
        </w:r>
      </w:hyperlink>
      <w:r>
        <w:t xml:space="preserve"> общественных территорий муниципального образования "Город Орел", предлагаемых для общественного обсуждения, согласно приложению к настоящему постановлению.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3. Рабочей группе по проведению голосования по отбору общественных территорий, подлежащих благоустройству в рамках реализации муниципальной программы "Формирование современной городской среды на территории города Орла" в электронной форме в информационно-телекоммуникационной сети Интернет: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3.1. Организовать проведение в период с 16.01.2024 по 25.01.2024 общественного обсуждения перечня общественных территорий для их участия в рейтинговом голосовании в электронной форме на официальном сайте администрации города Орла в информационно-телекоммуникационной сети Интернет (www.orel-adm.ru).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3.2. До 18.03.2024 внести в единую федеральную платформу для онлайн-голосования граждан перечень общественных территорий, предлагаемых для рейтингового голосования, с дизайн-проектами благоустройства территорий и перечнем запланированных работ.</w:t>
      </w:r>
    </w:p>
    <w:p w:rsidR="00C334BE" w:rsidRDefault="00C334B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города Орла от 16.01.2024 N 84)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lastRenderedPageBreak/>
        <w:t>3.3. Организовать проведение в период с 15.03.2024 по 30.04.2024 рейтингового голосования.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4. Общественной комиссии по организации общественного обсуждения проекта муниципальной программы "Формирование современной городской среды на территории города Орла":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4.1. В течение 1 дня со дня завершения общественного обсуждения сформировать и утвердить протоколом перечень общественных территорий, предлагаемых для рейтингового голосования, с учетом поступивших в ходе общественного обсуждения предложений, и сводный отчет о результатах общественного обсуждения. Копию сводного отчета о результатах общественного обсуждения направить в Департамент жилищно-коммунального хозяйства, топливно-энергетического комплекса и энергосбережения Орловской области.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4.2. До 03.05.2024 провести заседание, на котором определить результаты рейтингового голосования, и оформить протокол об итогах рейтингового голосования в городе Орле.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5. Управлению градостроительства администрации города Орла (М.В. Родштейн) до 09.02.2024 обеспечить подготовку дизайн-проектов с перечнем запланированных работ по благоустройству общественных территорий, предлагаемых для рейтингового голосования.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6. Территориальным управлениям по районам администрации города Орла (М.В. Деркач, С.М. Мерзликин, М.Г. Дохнадзе, М.В. Барбашов) в период проведения рейтингового голосования оказывать содействие гражданам в онлайн-голосовании на единой федеральной платформе в информационно-телекоммуникационной сети Интернет.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7. Управлению по организационной работе, молодежной политике и связям с общественными организациями администрации города Орла (О.Ю. Тарарыченкова) организовать привлечение волонтеров для оказания содействия гражданам в онлайн-голосовании на единой федеральной платформе в информационно-телекоммуникационной сети Интернет.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8. Управлению по взаимодействию со средствами массовой информации и аналитической работе администрации города Орла: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8.1. Опубликовать настоящее постановление в газете "Орловская городская газета" и разместить на официальном сайте администрации города Орла в информационно-телекоммуникационной сети Интернет (www.orel-adm.ru).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8.2. Организовать информационное сопровождение общественного обсуждения и рейтингового голосования.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8.3. В течение 1 дня со дня завершения общественного обсуждения разместить на официальном сайте администрации города Орла в информационно-телекоммуникационной сети Интернет (www.orel-adm.ru) утвержденный протоколом общественной комиссии перечень общественных территорий, предлагаемых для рейтингового голосования, и сводный отчет о результатах общественного обсуждения.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8.4. До 24.02.2024 разместить на официальном сайте администрации города Орла в информационно-телекоммуникационной сети Интернет (www.orel-adm.ru) перечень общественных территорий, предлагаемых для рейтингового голосования, с дизайн-проектами благоустройства территорий и перечнем запланированных работ, а также информацию о месте, дате и времени проведения рейтингового голосования.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9. Контроль за исполнением настоящего постановления возложить на первого заместителя Мэра города Орла В.Н. Ничипорова.</w:t>
      </w:r>
    </w:p>
    <w:p w:rsidR="00C334BE" w:rsidRDefault="00C334BE">
      <w:pPr>
        <w:pStyle w:val="ConsPlusNormal"/>
        <w:ind w:firstLine="540"/>
        <w:jc w:val="both"/>
      </w:pPr>
    </w:p>
    <w:p w:rsidR="00C334BE" w:rsidRDefault="00C334BE">
      <w:pPr>
        <w:pStyle w:val="ConsPlusNormal"/>
        <w:jc w:val="right"/>
      </w:pPr>
      <w:r>
        <w:t>Мэр города Орла</w:t>
      </w:r>
    </w:p>
    <w:p w:rsidR="00C334BE" w:rsidRDefault="00C334BE">
      <w:pPr>
        <w:pStyle w:val="ConsPlusNormal"/>
        <w:jc w:val="right"/>
      </w:pPr>
      <w:r>
        <w:lastRenderedPageBreak/>
        <w:t>Ю.Н.ПАРАХИН</w:t>
      </w:r>
    </w:p>
    <w:p w:rsidR="00C334BE" w:rsidRDefault="00C334BE">
      <w:pPr>
        <w:pStyle w:val="ConsPlusNormal"/>
        <w:ind w:firstLine="540"/>
        <w:jc w:val="both"/>
      </w:pPr>
    </w:p>
    <w:p w:rsidR="00C334BE" w:rsidRDefault="00C334BE">
      <w:pPr>
        <w:pStyle w:val="ConsPlusNormal"/>
        <w:ind w:firstLine="540"/>
        <w:jc w:val="both"/>
      </w:pPr>
    </w:p>
    <w:p w:rsidR="00C334BE" w:rsidRDefault="00C334BE">
      <w:pPr>
        <w:pStyle w:val="ConsPlusNormal"/>
        <w:ind w:firstLine="540"/>
        <w:jc w:val="both"/>
      </w:pPr>
    </w:p>
    <w:p w:rsidR="00C334BE" w:rsidRDefault="00C334BE">
      <w:pPr>
        <w:pStyle w:val="ConsPlusNormal"/>
        <w:ind w:firstLine="540"/>
        <w:jc w:val="both"/>
      </w:pPr>
    </w:p>
    <w:p w:rsidR="00C334BE" w:rsidRDefault="00C334BE">
      <w:pPr>
        <w:pStyle w:val="ConsPlusNormal"/>
        <w:ind w:firstLine="540"/>
        <w:jc w:val="both"/>
      </w:pPr>
    </w:p>
    <w:p w:rsidR="00C334BE" w:rsidRDefault="00C334BE">
      <w:pPr>
        <w:pStyle w:val="ConsPlusNormal"/>
        <w:jc w:val="right"/>
        <w:outlineLvl w:val="0"/>
      </w:pPr>
      <w:r>
        <w:t>Приложение</w:t>
      </w:r>
    </w:p>
    <w:p w:rsidR="00C334BE" w:rsidRDefault="00C334BE">
      <w:pPr>
        <w:pStyle w:val="ConsPlusNormal"/>
        <w:jc w:val="right"/>
      </w:pPr>
      <w:r>
        <w:t>к постановлению</w:t>
      </w:r>
    </w:p>
    <w:p w:rsidR="00C334BE" w:rsidRDefault="00C334BE">
      <w:pPr>
        <w:pStyle w:val="ConsPlusNormal"/>
        <w:jc w:val="right"/>
      </w:pPr>
      <w:r>
        <w:t>Администрации города Орла</w:t>
      </w:r>
    </w:p>
    <w:p w:rsidR="00C334BE" w:rsidRDefault="00C334BE">
      <w:pPr>
        <w:pStyle w:val="ConsPlusNormal"/>
        <w:jc w:val="right"/>
      </w:pPr>
      <w:r>
        <w:t>от 12 января 2024 г. N 70</w:t>
      </w:r>
    </w:p>
    <w:p w:rsidR="00C334BE" w:rsidRDefault="00C334BE">
      <w:pPr>
        <w:pStyle w:val="ConsPlusNormal"/>
        <w:ind w:firstLine="540"/>
        <w:jc w:val="both"/>
      </w:pPr>
    </w:p>
    <w:p w:rsidR="00C334BE" w:rsidRDefault="00C334BE">
      <w:pPr>
        <w:pStyle w:val="ConsPlusTitle"/>
        <w:jc w:val="center"/>
      </w:pPr>
      <w:bookmarkStart w:id="0" w:name="P49"/>
      <w:bookmarkEnd w:id="0"/>
      <w:r>
        <w:t>ПЕРЕЧЕНЬ</w:t>
      </w:r>
    </w:p>
    <w:p w:rsidR="00C334BE" w:rsidRDefault="00C334BE">
      <w:pPr>
        <w:pStyle w:val="ConsPlusTitle"/>
        <w:jc w:val="center"/>
      </w:pPr>
      <w:r>
        <w:t>ОБЩЕСТВЕННЫХ ТЕРРИТОРИЙ МУНИЦИПАЛЬНОГО ОБРАЗОВАНИЯ</w:t>
      </w:r>
    </w:p>
    <w:p w:rsidR="00C334BE" w:rsidRDefault="00C334BE">
      <w:pPr>
        <w:pStyle w:val="ConsPlusTitle"/>
        <w:jc w:val="center"/>
      </w:pPr>
      <w:r>
        <w:t>"ГОРОД ОРЕЛ", ПРЕДЛАГАЕМЫХ ДЛЯ ОБЩЕСТВЕННОГО ОБСУЖДЕНИЯ</w:t>
      </w:r>
    </w:p>
    <w:p w:rsidR="00C334BE" w:rsidRDefault="00C334BE">
      <w:pPr>
        <w:pStyle w:val="ConsPlusNormal"/>
        <w:ind w:firstLine="540"/>
        <w:jc w:val="both"/>
      </w:pPr>
    </w:p>
    <w:p w:rsidR="00C334BE" w:rsidRDefault="00C334BE">
      <w:pPr>
        <w:pStyle w:val="ConsPlusNormal"/>
        <w:ind w:firstLine="540"/>
        <w:jc w:val="both"/>
      </w:pPr>
      <w:r>
        <w:t>1. Парк "Ботаника" (4 очередь).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2. Сквер им. А.П. Иванова.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3. Городской парк культуры и отдыха (продолжение работ по благоустройству).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4. В составе объекта "Приборостроительная улица (озеленение)".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5. Набережная реки Оки от городского пляжа до Октябрьского моста.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6. Набережная реки Орлик от Тургеневского моста до пляжа в районе "Ландшафтного сквера "Дворянское гнездо".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7. Территория между Федеральным казначейством Орловской области и БУЗ ОО "Больница скорой медицинской помощи им. Семашко".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8. Территория за БУЗ "Орловский противотуберкулезный диспансер".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9. Сквер Орловцев - тружеников Кузбасса.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10. Территория набережной Дубровинского от дома N 92 до Октябрьского моста.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11. Территория набережной Дубровинского от пер.Речного до ул. Новосильская.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12. Парк Семинарский.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13. Сквер Ливенский.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14. Трубников бульвар.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15. Площадь Содружества (продолжение работ по благоустройству).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16. Сквер Орловских партизан.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17. Аллея вдоль Московского шоссе по нечетной стороне от ул. Бурова до ул. Металлургов.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18. Сквер у церкви Михаила Архангела.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19. Территория, примыкающая к дому N 62 по набережной Дубровинского.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20. Сквер им. Воронова.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lastRenderedPageBreak/>
        <w:t>21. Бульвар Космонавтов.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22. Сквер им. Поликарпова.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23. Сквер Семьи.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24. Сквер им. Лескова.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25. Сквер им. генерала А.П. Ермолова.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26. Сквер у кинотеатра "Октябрь".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27. Сквер Разградский.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28. Сквер им. Маяковского.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29. Сквер у памятника Советским летчикам.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30. Сквер Промышленный.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31. Сквер Героев Чернобыльцев.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32. Сквер Десантников.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33. Братское кладбище жертв фашизма.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34. Бульвар Генерала Мартынова.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35. Сквер Артиллеристов.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36. Территория по нечетной стороне Московского шоссе от ул. Металлургов до ул. Рощинской.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37. Аллея Металлургов (продолжение работ по благоустройству).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38. Сквер им. поэта Аграновича.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39. Территория, прилегающая к дому N 4 по пер. Артельный (у памятника жителям деревень Верхнее и Нижнее Щекотихино, погибшим в боях за Родину).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40. Территория в микрорайоне "Зареченский".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41. Территория, прилегающая к Силикатному пруду.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42. Сквер Танкистов.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43. Территория перед зданием территориального управления по Заводскому району администрации города Орла (ул. 1-я Посадская, 14).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44. Сквер Пограничников.</w:t>
      </w:r>
    </w:p>
    <w:p w:rsidR="00C334BE" w:rsidRDefault="00C334BE">
      <w:pPr>
        <w:pStyle w:val="ConsPlusNormal"/>
        <w:spacing w:before="220"/>
        <w:ind w:firstLine="540"/>
        <w:jc w:val="both"/>
      </w:pPr>
      <w:r>
        <w:t>45. Сквер им. В.А. Русанова.</w:t>
      </w:r>
    </w:p>
    <w:p w:rsidR="00C334BE" w:rsidRDefault="00C334BE">
      <w:pPr>
        <w:pStyle w:val="ConsPlusNormal"/>
        <w:ind w:firstLine="540"/>
        <w:jc w:val="both"/>
      </w:pPr>
    </w:p>
    <w:p w:rsidR="00C334BE" w:rsidRDefault="00C334BE">
      <w:pPr>
        <w:pStyle w:val="ConsPlusNormal"/>
        <w:ind w:firstLine="540"/>
        <w:jc w:val="both"/>
      </w:pPr>
    </w:p>
    <w:p w:rsidR="00C334BE" w:rsidRDefault="00C334B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5E43" w:rsidRDefault="00C65E43">
      <w:bookmarkStart w:id="1" w:name="_GoBack"/>
      <w:bookmarkEnd w:id="1"/>
    </w:p>
    <w:sectPr w:rsidR="00C65E43" w:rsidSect="0047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BE"/>
    <w:rsid w:val="00C334BE"/>
    <w:rsid w:val="00C6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FF64F-7C11-43D2-AF2A-62858C52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4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34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334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7913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7&amp;n=7469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94047" TargetMode="External"/><Relationship Id="rId11" Type="http://schemas.openxmlformats.org/officeDocument/2006/relationships/hyperlink" Target="https://login.consultant.ru/link/?req=doc&amp;base=RLAW127&amp;n=94164&amp;dst=100007" TargetMode="External"/><Relationship Id="rId5" Type="http://schemas.openxmlformats.org/officeDocument/2006/relationships/hyperlink" Target="https://login.consultant.ru/link/?req=doc&amp;base=RLAW127&amp;n=94164&amp;dst=100005" TargetMode="External"/><Relationship Id="rId10" Type="http://schemas.openxmlformats.org/officeDocument/2006/relationships/hyperlink" Target="https://login.consultant.ru/link/?req=doc&amp;base=RLAW127&amp;n=94164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92235&amp;dst=1018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1348</Words>
  <Characters>7687</Characters>
  <Application>Microsoft Office Word</Application>
  <DocSecurity>0</DocSecurity>
  <Lines>64</Lines>
  <Paragraphs>18</Paragraphs>
  <ScaleCrop>false</ScaleCrop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2024-04-18T16:15:00Z</dcterms:created>
  <dcterms:modified xsi:type="dcterms:W3CDTF">2024-04-18T16:15:00Z</dcterms:modified>
</cp:coreProperties>
</file>