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5415FB" w:rsidRDefault="007C4DB0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0046BC">
        <w:rPr>
          <w:b/>
          <w:bCs/>
          <w:color w:val="FF0000"/>
          <w:sz w:val="28"/>
          <w:szCs w:val="28"/>
          <w:lang w:val="ru-RU"/>
        </w:rPr>
        <w:t xml:space="preserve"> </w:t>
      </w:r>
      <w:r w:rsidR="00FA4712" w:rsidRPr="005415FB">
        <w:rPr>
          <w:b/>
          <w:bCs/>
          <w:sz w:val="28"/>
          <w:szCs w:val="28"/>
          <w:lang w:val="ru-RU"/>
        </w:rPr>
        <w:t>от «</w:t>
      </w:r>
      <w:r w:rsidR="00AB0E72">
        <w:rPr>
          <w:b/>
          <w:bCs/>
          <w:sz w:val="28"/>
          <w:szCs w:val="28"/>
          <w:lang w:val="ru-RU"/>
        </w:rPr>
        <w:t>23</w:t>
      </w:r>
      <w:r w:rsidR="00A018F5" w:rsidRPr="005415FB">
        <w:rPr>
          <w:b/>
          <w:bCs/>
          <w:sz w:val="28"/>
          <w:szCs w:val="28"/>
          <w:lang w:val="ru-RU"/>
        </w:rPr>
        <w:t>»</w:t>
      </w:r>
      <w:r w:rsidR="005D49A0" w:rsidRPr="005415FB">
        <w:rPr>
          <w:b/>
          <w:bCs/>
          <w:sz w:val="28"/>
          <w:szCs w:val="28"/>
          <w:lang w:val="ru-RU"/>
        </w:rPr>
        <w:t xml:space="preserve"> </w:t>
      </w:r>
      <w:r w:rsidR="00AB0E72">
        <w:rPr>
          <w:b/>
          <w:bCs/>
          <w:sz w:val="28"/>
          <w:szCs w:val="28"/>
          <w:lang w:val="ru-RU"/>
        </w:rPr>
        <w:t>июня</w:t>
      </w:r>
      <w:r w:rsidR="0073658A" w:rsidRPr="005415FB">
        <w:rPr>
          <w:b/>
          <w:bCs/>
          <w:sz w:val="28"/>
          <w:szCs w:val="28"/>
          <w:lang w:val="ru-RU"/>
        </w:rPr>
        <w:t xml:space="preserve"> </w:t>
      </w:r>
      <w:r w:rsidR="00A018F5" w:rsidRPr="005415FB">
        <w:rPr>
          <w:b/>
          <w:bCs/>
          <w:sz w:val="28"/>
          <w:szCs w:val="28"/>
          <w:lang w:val="ru-RU"/>
        </w:rPr>
        <w:t>20</w:t>
      </w:r>
      <w:r w:rsidR="002C0956" w:rsidRPr="005415FB">
        <w:rPr>
          <w:b/>
          <w:bCs/>
          <w:sz w:val="28"/>
          <w:szCs w:val="28"/>
          <w:lang w:val="ru-RU"/>
        </w:rPr>
        <w:t>2</w:t>
      </w:r>
      <w:r w:rsidR="00272A6C">
        <w:rPr>
          <w:b/>
          <w:bCs/>
          <w:sz w:val="28"/>
          <w:szCs w:val="28"/>
          <w:lang w:val="ru-RU"/>
        </w:rPr>
        <w:t>5</w:t>
      </w:r>
      <w:r w:rsidR="00A018F5" w:rsidRPr="005415FB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230CE0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AB0E72">
        <w:rPr>
          <w:b/>
          <w:color w:val="000000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57:25:0030116:767, расположенном по адресу: Российская Федерация, Орловская область, г. Орел, ул. Гайдара, в части в части минимальных отступов от границ земельного участка с северной стороны – 2,8 м, с северо-западной стороны – 2,1 м, с юго-восточной стороны – 1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527E1C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B0E72" w:rsidRDefault="00AB0E72" w:rsidP="00AB0E7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03.06.2025 г. № 46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490CEC">
        <w:rPr>
          <w:bCs/>
          <w:sz w:val="28"/>
          <w:szCs w:val="28"/>
          <w:lang w:val="ru-RU"/>
        </w:rPr>
        <w:t xml:space="preserve">слушаний: </w:t>
      </w:r>
      <w:r w:rsidR="00AB0E72">
        <w:rPr>
          <w:b/>
          <w:bCs/>
          <w:sz w:val="28"/>
          <w:szCs w:val="28"/>
          <w:lang w:val="ru-RU"/>
        </w:rPr>
        <w:t>7</w:t>
      </w:r>
      <w:r w:rsidRPr="00490CEC">
        <w:rPr>
          <w:b/>
          <w:bCs/>
          <w:sz w:val="28"/>
          <w:szCs w:val="28"/>
          <w:lang w:val="ru-RU"/>
        </w:rPr>
        <w:t xml:space="preserve"> человек</w:t>
      </w:r>
    </w:p>
    <w:p w:rsidR="00A018F5" w:rsidRPr="00527E1C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0046BC" w:rsidRDefault="00A018F5" w:rsidP="00A018F5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527E1C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</w:t>
      </w:r>
      <w:r w:rsidRPr="005415FB">
        <w:rPr>
          <w:bCs/>
          <w:sz w:val="28"/>
          <w:szCs w:val="28"/>
          <w:lang w:val="ru-RU"/>
        </w:rPr>
        <w:t xml:space="preserve">ние: </w:t>
      </w:r>
      <w:r w:rsidR="0073658A" w:rsidRPr="005415FB">
        <w:rPr>
          <w:b/>
          <w:bCs/>
          <w:sz w:val="28"/>
          <w:szCs w:val="28"/>
          <w:lang w:val="ru-RU"/>
        </w:rPr>
        <w:t>от «</w:t>
      </w:r>
      <w:r w:rsidR="00AB0E72">
        <w:rPr>
          <w:b/>
          <w:bCs/>
          <w:sz w:val="28"/>
          <w:szCs w:val="28"/>
          <w:lang w:val="ru-RU"/>
        </w:rPr>
        <w:t>19</w:t>
      </w:r>
      <w:r w:rsidRPr="005415FB">
        <w:rPr>
          <w:b/>
          <w:bCs/>
          <w:sz w:val="28"/>
          <w:szCs w:val="28"/>
          <w:lang w:val="ru-RU"/>
        </w:rPr>
        <w:t xml:space="preserve">» </w:t>
      </w:r>
      <w:r w:rsidR="00AB0E72">
        <w:rPr>
          <w:b/>
          <w:bCs/>
          <w:sz w:val="28"/>
          <w:szCs w:val="28"/>
          <w:lang w:val="ru-RU"/>
        </w:rPr>
        <w:t>июня</w:t>
      </w:r>
      <w:r w:rsidR="008A4FC3" w:rsidRPr="005415FB">
        <w:rPr>
          <w:b/>
          <w:bCs/>
          <w:sz w:val="28"/>
          <w:szCs w:val="28"/>
          <w:lang w:val="ru-RU"/>
        </w:rPr>
        <w:t xml:space="preserve"> </w:t>
      </w:r>
      <w:r w:rsidR="002C0956" w:rsidRPr="005415FB">
        <w:rPr>
          <w:b/>
          <w:bCs/>
          <w:sz w:val="28"/>
          <w:szCs w:val="28"/>
          <w:lang w:val="ru-RU"/>
        </w:rPr>
        <w:t>202</w:t>
      </w:r>
      <w:r w:rsidR="00272A6C">
        <w:rPr>
          <w:b/>
          <w:bCs/>
          <w:sz w:val="28"/>
          <w:szCs w:val="28"/>
          <w:lang w:val="ru-RU"/>
        </w:rPr>
        <w:t>5</w:t>
      </w:r>
      <w:r w:rsidRPr="005415FB">
        <w:rPr>
          <w:b/>
          <w:bCs/>
          <w:sz w:val="28"/>
          <w:szCs w:val="28"/>
          <w:lang w:val="ru-RU"/>
        </w:rPr>
        <w:t xml:space="preserve"> года № </w:t>
      </w:r>
      <w:r w:rsidR="00AB0E72">
        <w:rPr>
          <w:b/>
          <w:bCs/>
          <w:sz w:val="28"/>
          <w:szCs w:val="28"/>
          <w:lang w:val="ru-RU"/>
        </w:rPr>
        <w:t>42</w:t>
      </w:r>
    </w:p>
    <w:p w:rsidR="00263482" w:rsidRPr="00527E1C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527E1C">
        <w:rPr>
          <w:b/>
          <w:sz w:val="28"/>
          <w:szCs w:val="28"/>
          <w:lang w:val="ru-RU"/>
        </w:rPr>
        <w:t xml:space="preserve">Предложения и замечания граждан, являющихся </w:t>
      </w:r>
      <w:r w:rsidRPr="00A50C82">
        <w:rPr>
          <w:b/>
          <w:sz w:val="28"/>
          <w:szCs w:val="28"/>
          <w:lang w:val="ru-RU"/>
        </w:rPr>
        <w:t>участниками публичных слушаний и постоянно проживающих на территории, в пределах которой проводятся публичные слушания</w:t>
      </w:r>
    </w:p>
    <w:p w:rsidR="007C4DB0" w:rsidRPr="00A50C82" w:rsidRDefault="007C4DB0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A018F5" w:rsidRPr="00A50C82" w:rsidTr="00527E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B0E72" w:rsidRPr="005B7A03" w:rsidTr="00AB0E7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0E72" w:rsidRPr="00A50C82" w:rsidRDefault="00AB0E72" w:rsidP="00AB0E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E72" w:rsidRDefault="00AB0E72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Жители домов, расположенных по адресу ул. Льва Толстого д. 2, д. 2А, д. 4, д. 4А, находящихся в непосредственной близости от земельного участка</w:t>
            </w:r>
            <w:r w:rsidR="00053829">
              <w:rPr>
                <w:rFonts w:cs="Times New Roman"/>
                <w:sz w:val="28"/>
                <w:szCs w:val="28"/>
                <w:lang w:val="ru-RU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выделенного под капитальное строительство,  </w:t>
            </w:r>
            <w:r w:rsidR="0005382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категорически против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57:25:0030116:767, расположенном по адресу: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Российская Федерация, Орловская область, г. Орел,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ул. Гайдара, в части минимальных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отступов от границ земельного участка с северной стороны -2,8 м, с северо-западной стороны -2,1 м, с юго-восточной стороны - 1м, а также, категорически против капитального строительства объекта на указанной выше территории.</w:t>
            </w:r>
          </w:p>
          <w:p w:rsidR="00AB0E72" w:rsidRDefault="00AB0E72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Собраны подписи в количестве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184 шт. </w:t>
            </w:r>
          </w:p>
          <w:p w:rsidR="00AB0E72" w:rsidRDefault="00AB0E72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AB0E72" w:rsidRDefault="00AB0E72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Район, в котором расположена рассматриваемая территория, загазованный из-за близости к  железной дороге, ТЭЦ, ГСК.  </w:t>
            </w:r>
          </w:p>
          <w:p w:rsidR="00AB0E72" w:rsidRDefault="00AB0E72" w:rsidP="00AB0E72">
            <w:pPr>
              <w:widowControl/>
              <w:suppressAutoHyphens w:val="0"/>
              <w:autoSpaceDE w:val="0"/>
              <w:adjustRightInd w:val="0"/>
              <w:rPr>
                <w:rStyle w:val="fStyle"/>
                <w:rFonts w:eastAsia="Andale Sans UI"/>
                <w:lang w:val="ru-RU"/>
              </w:rPr>
            </w:pPr>
            <w:r>
              <w:rPr>
                <w:rStyle w:val="fStyle"/>
                <w:rFonts w:eastAsia="Andale Sans UI"/>
                <w:lang w:val="ru-RU"/>
              </w:rPr>
              <w:t xml:space="preserve">Загазованность повысится еще больше от потока машин и грузового транспорта вместе со строительством данного магазина.  </w:t>
            </w:r>
          </w:p>
          <w:p w:rsidR="005B7A03" w:rsidRDefault="005B7A03" w:rsidP="00AB0E72">
            <w:pPr>
              <w:widowControl/>
              <w:suppressAutoHyphens w:val="0"/>
              <w:autoSpaceDE w:val="0"/>
              <w:adjustRightInd w:val="0"/>
              <w:rPr>
                <w:rStyle w:val="fStyle"/>
                <w:rFonts w:eastAsia="Andale Sans UI"/>
                <w:lang w:val="ru-RU"/>
              </w:rPr>
            </w:pPr>
          </w:p>
          <w:p w:rsidR="005B7A03" w:rsidRPr="00AB0E72" w:rsidRDefault="008750E5" w:rsidP="008750E5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fStyle"/>
                <w:rFonts w:eastAsia="Andale Sans UI"/>
                <w:lang w:val="ru-RU"/>
              </w:rPr>
              <w:t xml:space="preserve">Размещение магазина </w:t>
            </w:r>
            <w:r w:rsidR="005B7A03">
              <w:rPr>
                <w:rStyle w:val="fStyle"/>
                <w:rFonts w:eastAsia="Andale Sans UI"/>
                <w:lang w:val="ru-RU"/>
              </w:rPr>
              <w:t>согласован</w:t>
            </w:r>
            <w:r>
              <w:rPr>
                <w:rStyle w:val="fStyle"/>
                <w:rFonts w:eastAsia="Andale Sans UI"/>
                <w:lang w:val="ru-RU"/>
              </w:rPr>
              <w:t>о</w:t>
            </w:r>
            <w:r w:rsidR="005B7A03">
              <w:rPr>
                <w:rStyle w:val="fStyle"/>
                <w:rFonts w:eastAsia="Andale Sans UI"/>
                <w:lang w:val="ru-RU"/>
              </w:rPr>
              <w:t xml:space="preserve"> с Управлением </w:t>
            </w:r>
            <w:proofErr w:type="spellStart"/>
            <w:r w:rsidR="005B7A03">
              <w:rPr>
                <w:rStyle w:val="fStyle"/>
                <w:rFonts w:eastAsia="Andale Sans UI"/>
                <w:lang w:val="ru-RU"/>
              </w:rPr>
              <w:t>Роспотребнадзора</w:t>
            </w:r>
            <w:proofErr w:type="spellEnd"/>
            <w:r w:rsidR="005B7A03">
              <w:rPr>
                <w:rStyle w:val="fStyle"/>
                <w:rFonts w:eastAsia="Andale Sans UI"/>
                <w:lang w:val="ru-RU"/>
              </w:rPr>
              <w:t xml:space="preserve"> Орловской области</w:t>
            </w:r>
            <w:r>
              <w:rPr>
                <w:rStyle w:val="fStyle"/>
                <w:rFonts w:eastAsia="Andale Sans UI"/>
                <w:lang w:val="ru-RU"/>
              </w:rPr>
              <w:t xml:space="preserve"> и соответствует нормам</w:t>
            </w:r>
            <w:r w:rsidR="005B7A03">
              <w:rPr>
                <w:rStyle w:val="fStyle"/>
                <w:rFonts w:eastAsia="Andale Sans UI"/>
                <w:lang w:val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E72" w:rsidRPr="00930809" w:rsidRDefault="00AB0E72" w:rsidP="00AB0E7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</w:tc>
      </w:tr>
      <w:tr w:rsidR="00AB0E72" w:rsidRPr="00A44A3E" w:rsidTr="00AB0E72">
        <w:trPr>
          <w:trHeight w:val="40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0E72" w:rsidRPr="00A50C82" w:rsidRDefault="00053829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A03" w:rsidRDefault="005B7A03" w:rsidP="005B7A03">
            <w:pPr>
              <w:pStyle w:val="pStyle"/>
              <w:spacing w:after="0"/>
              <w:rPr>
                <w:rStyle w:val="fStyle"/>
                <w:rFonts w:eastAsia="Arial"/>
              </w:rPr>
            </w:pPr>
            <w:r>
              <w:rPr>
                <w:rStyle w:val="fStyle"/>
                <w:rFonts w:eastAsia="Arial"/>
              </w:rPr>
              <w:t>Дор</w:t>
            </w:r>
            <w:r w:rsidR="008750E5">
              <w:rPr>
                <w:rStyle w:val="fStyle"/>
                <w:rFonts w:eastAsia="Arial"/>
              </w:rPr>
              <w:t>ога, планируемая к эксплуатации и</w:t>
            </w:r>
            <w:r>
              <w:rPr>
                <w:rStyle w:val="fStyle"/>
                <w:rFonts w:eastAsia="Arial"/>
              </w:rPr>
              <w:t xml:space="preserve"> ведущая в гаражный кооператив, строилась</w:t>
            </w:r>
            <w:r w:rsidR="00053829">
              <w:rPr>
                <w:rStyle w:val="fStyle"/>
                <w:rFonts w:eastAsia="Arial"/>
              </w:rPr>
              <w:t xml:space="preserve"> членами ГСК</w:t>
            </w:r>
            <w:r>
              <w:rPr>
                <w:rStyle w:val="fStyle"/>
                <w:rFonts w:eastAsia="Arial"/>
              </w:rPr>
              <w:t xml:space="preserve"> вместе со строительством гаражн</w:t>
            </w:r>
            <w:r w:rsidR="008750E5">
              <w:rPr>
                <w:rStyle w:val="fStyle"/>
                <w:rFonts w:eastAsia="Arial"/>
              </w:rPr>
              <w:t>ого кооператива</w:t>
            </w:r>
            <w:r>
              <w:rPr>
                <w:rStyle w:val="fStyle"/>
                <w:rFonts w:eastAsia="Arial"/>
              </w:rPr>
              <w:t xml:space="preserve">. </w:t>
            </w:r>
            <w:r w:rsidR="00053829">
              <w:rPr>
                <w:rStyle w:val="fStyle"/>
                <w:rFonts w:eastAsia="Arial"/>
              </w:rPr>
              <w:t>При строительстве 45 гаражей собственники платили паевой взнос на строительство дороги.</w:t>
            </w:r>
          </w:p>
          <w:p w:rsidR="00AB0E72" w:rsidRPr="00527E1C" w:rsidRDefault="005B7A03" w:rsidP="008750E5">
            <w:pPr>
              <w:pStyle w:val="pStyle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Style w:val="fStyle"/>
                <w:rFonts w:eastAsia="Arial"/>
              </w:rPr>
              <w:t xml:space="preserve">Проезд не предназначен для транспорта </w:t>
            </w:r>
            <w:r w:rsidR="008750E5">
              <w:rPr>
                <w:rStyle w:val="fStyle"/>
                <w:rFonts w:eastAsia="Arial"/>
              </w:rPr>
              <w:t>большой</w:t>
            </w:r>
            <w:r>
              <w:rPr>
                <w:rStyle w:val="fStyle"/>
                <w:rFonts w:eastAsia="Arial"/>
              </w:rPr>
              <w:t xml:space="preserve"> грузоподъемности. Учитывая то, что это будет магазин, там будут ездить помимо легковых автомобилей, грузовые, возможно и фуры.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A03" w:rsidRDefault="005B7A03" w:rsidP="005B7A03">
            <w:pPr>
              <w:pStyle w:val="Standard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5B7A03" w:rsidRDefault="005B7A03" w:rsidP="005B7A03">
            <w:pPr>
              <w:pStyle w:val="Standard"/>
              <w:spacing w:line="252" w:lineRule="auto"/>
              <w:rPr>
                <w:sz w:val="28"/>
                <w:szCs w:val="28"/>
                <w:lang w:val="ru-RU"/>
              </w:rPr>
            </w:pPr>
          </w:p>
          <w:p w:rsidR="005B7A03" w:rsidRDefault="005B7A03" w:rsidP="005B7A03">
            <w:pPr>
              <w:pStyle w:val="Standard"/>
              <w:spacing w:line="252" w:lineRule="auto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Согласно Генеральному плану городского округа «Город Орел», утвержденному Решением Орловского городского Совета народных депутатов от 28.02.2008 № 29/425-ГС, дорога к гаражам не является улицей магистрального, районного и местного значения. </w:t>
            </w:r>
          </w:p>
          <w:p w:rsidR="005B7A03" w:rsidRDefault="005B7A03" w:rsidP="005B7A03">
            <w:pPr>
              <w:pStyle w:val="Standard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Также данный проезд является землями неразграниченной государственной собственности и никому не принадлежит.</w:t>
            </w:r>
          </w:p>
          <w:p w:rsidR="00AB0E72" w:rsidRPr="00930809" w:rsidRDefault="00AB0E72" w:rsidP="000376C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AB0E72" w:rsidRPr="00A44A3E" w:rsidTr="00AB0E72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0E72" w:rsidRPr="00A50C82" w:rsidRDefault="00053829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829" w:rsidRDefault="00053829" w:rsidP="00053829">
            <w:pPr>
              <w:pStyle w:val="Standard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fStyle"/>
                <w:rFonts w:eastAsia="Andale Sans UI"/>
                <w:lang w:val="ru-RU"/>
              </w:rPr>
              <w:t xml:space="preserve">В случае чрезвычайной ситуации </w:t>
            </w:r>
            <w:proofErr w:type="gramStart"/>
            <w:r>
              <w:rPr>
                <w:rStyle w:val="fStyle"/>
                <w:rFonts w:eastAsia="Andale Sans UI"/>
                <w:lang w:val="ru-RU"/>
              </w:rPr>
              <w:t>будет все перекрыто и некуда</w:t>
            </w:r>
            <w:proofErr w:type="gramEnd"/>
            <w:r>
              <w:rPr>
                <w:rStyle w:val="fStyle"/>
                <w:rFonts w:eastAsia="Andale Sans UI"/>
                <w:lang w:val="ru-RU"/>
              </w:rPr>
              <w:t xml:space="preserve"> будет эвакуироваться, потому что дорога не предназначена для двустороннего движения. Загруженность </w:t>
            </w:r>
            <w:r>
              <w:rPr>
                <w:rStyle w:val="fStyle"/>
                <w:rFonts w:eastAsia="Andale Sans UI"/>
                <w:lang w:val="ru-RU"/>
              </w:rPr>
              <w:lastRenderedPageBreak/>
              <w:t xml:space="preserve">увеличивается на 50 процентов с учетом планируемых 22 парковочных мест.  </w:t>
            </w:r>
          </w:p>
          <w:p w:rsidR="00AB0E72" w:rsidRPr="00527E1C" w:rsidRDefault="00AB0E72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A03" w:rsidRDefault="005B7A03" w:rsidP="005B7A03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Учесть высказанное. </w:t>
            </w:r>
          </w:p>
          <w:p w:rsidR="005B7A03" w:rsidRDefault="005B7A03" w:rsidP="005B7A03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Ширина проходов, проездов и подъездов к зданиям и сооружениям определяется в соответствии с приказом МЧС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России от 24.04.2013 № 288</w:t>
            </w:r>
          </w:p>
          <w:p w:rsidR="00AB0E72" w:rsidRPr="00930809" w:rsidRDefault="005B7A03" w:rsidP="005B7A03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      </w:r>
          </w:p>
        </w:tc>
      </w:tr>
      <w:tr w:rsidR="00AB0E72" w:rsidRPr="00A44A3E" w:rsidTr="00AB0E72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0E72" w:rsidRPr="00A50C82" w:rsidRDefault="00053829" w:rsidP="0005382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E72" w:rsidRPr="00AB0E72" w:rsidRDefault="005B7A03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="00AB0E72" w:rsidRPr="00AB0E72">
              <w:rPr>
                <w:rFonts w:cs="Times New Roman"/>
                <w:sz w:val="28"/>
                <w:szCs w:val="28"/>
                <w:lang w:val="ru-RU"/>
              </w:rPr>
              <w:t>айон небольшой, а благо для народа не сделано.</w:t>
            </w:r>
          </w:p>
          <w:p w:rsidR="00AB0E72" w:rsidRPr="00AB0E72" w:rsidRDefault="008750E5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Мы просили и писали, что хотим</w:t>
            </w:r>
            <w:r w:rsidR="00AB0E72" w:rsidRPr="00AB0E72">
              <w:rPr>
                <w:rFonts w:cs="Times New Roman"/>
                <w:sz w:val="28"/>
                <w:szCs w:val="28"/>
                <w:lang w:val="ru-RU"/>
              </w:rPr>
              <w:t xml:space="preserve"> какую-нибудь парковую зону, это очень важно. </w:t>
            </w:r>
          </w:p>
          <w:p w:rsidR="00AB0E72" w:rsidRPr="00AB0E72" w:rsidRDefault="00AB0E72" w:rsidP="00AB0E72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AB0E72">
              <w:rPr>
                <w:rFonts w:cs="Times New Roman"/>
                <w:sz w:val="28"/>
                <w:szCs w:val="28"/>
                <w:lang w:val="ru-RU"/>
              </w:rPr>
              <w:t>Почему эти мо</w:t>
            </w:r>
            <w:r w:rsidR="008750E5">
              <w:rPr>
                <w:rFonts w:cs="Times New Roman"/>
                <w:sz w:val="28"/>
                <w:szCs w:val="28"/>
                <w:lang w:val="ru-RU"/>
              </w:rPr>
              <w:t>менты не учитывается, а учитываются только коммерческие</w:t>
            </w:r>
            <w:r w:rsidRPr="00AB0E7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8750E5">
              <w:rPr>
                <w:rFonts w:cs="Times New Roman"/>
                <w:sz w:val="28"/>
                <w:szCs w:val="28"/>
                <w:lang w:val="ru-RU"/>
              </w:rPr>
              <w:t>интересы</w:t>
            </w:r>
            <w:r w:rsidRPr="00AB0E72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AB0E72" w:rsidRPr="00527E1C" w:rsidRDefault="00AB0E72" w:rsidP="008750E5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AB0E72">
              <w:rPr>
                <w:rFonts w:cs="Times New Roman"/>
                <w:sz w:val="28"/>
                <w:szCs w:val="28"/>
                <w:lang w:val="ru-RU"/>
              </w:rPr>
              <w:t>Также мы хотим понимать</w:t>
            </w:r>
            <w:r w:rsidR="008750E5">
              <w:rPr>
                <w:rFonts w:cs="Times New Roman"/>
                <w:sz w:val="28"/>
                <w:szCs w:val="28"/>
                <w:lang w:val="ru-RU"/>
              </w:rPr>
              <w:t xml:space="preserve">, на </w:t>
            </w:r>
            <w:proofErr w:type="gramStart"/>
            <w:r w:rsidR="008750E5">
              <w:rPr>
                <w:rFonts w:cs="Times New Roman"/>
                <w:sz w:val="28"/>
                <w:szCs w:val="28"/>
                <w:lang w:val="ru-RU"/>
              </w:rPr>
              <w:t>основании</w:t>
            </w:r>
            <w:proofErr w:type="gramEnd"/>
            <w:r w:rsidR="008750E5">
              <w:rPr>
                <w:rFonts w:cs="Times New Roman"/>
                <w:sz w:val="28"/>
                <w:szCs w:val="28"/>
                <w:lang w:val="ru-RU"/>
              </w:rPr>
              <w:t xml:space="preserve"> каких документов</w:t>
            </w:r>
            <w:r w:rsidRPr="00AB0E72">
              <w:rPr>
                <w:rFonts w:cs="Times New Roman"/>
                <w:sz w:val="28"/>
                <w:szCs w:val="28"/>
                <w:lang w:val="ru-RU"/>
              </w:rPr>
              <w:t xml:space="preserve"> на этом участке разрешено капитальное строительство, если до этого подтверждал</w:t>
            </w:r>
            <w:r w:rsidR="008750E5">
              <w:rPr>
                <w:rFonts w:cs="Times New Roman"/>
                <w:sz w:val="28"/>
                <w:szCs w:val="28"/>
                <w:lang w:val="ru-RU"/>
              </w:rPr>
              <w:t>ось</w:t>
            </w:r>
            <w:r w:rsidRPr="00AB0E72">
              <w:rPr>
                <w:rFonts w:cs="Times New Roman"/>
                <w:sz w:val="28"/>
                <w:szCs w:val="28"/>
                <w:lang w:val="ru-RU"/>
              </w:rPr>
              <w:t xml:space="preserve">, что </w:t>
            </w:r>
            <w:r w:rsidR="008750E5">
              <w:rPr>
                <w:rFonts w:cs="Times New Roman"/>
                <w:sz w:val="28"/>
                <w:szCs w:val="28"/>
                <w:lang w:val="ru-RU"/>
              </w:rPr>
              <w:t>на участке не будет</w:t>
            </w:r>
            <w:r w:rsidRPr="00AB0E72">
              <w:rPr>
                <w:rFonts w:cs="Times New Roman"/>
                <w:sz w:val="28"/>
                <w:szCs w:val="28"/>
                <w:lang w:val="ru-RU"/>
              </w:rPr>
              <w:t xml:space="preserve"> капитально</w:t>
            </w:r>
            <w:r w:rsidR="008750E5">
              <w:rPr>
                <w:rFonts w:cs="Times New Roman"/>
                <w:sz w:val="28"/>
                <w:szCs w:val="28"/>
                <w:lang w:val="ru-RU"/>
              </w:rPr>
              <w:t>го</w:t>
            </w:r>
            <w:r w:rsidRPr="00AB0E72">
              <w:rPr>
                <w:rFonts w:cs="Times New Roman"/>
                <w:sz w:val="28"/>
                <w:szCs w:val="28"/>
                <w:lang w:val="ru-RU"/>
              </w:rPr>
              <w:t xml:space="preserve"> строительства.  Многие жители также хотели выкупить этот участок.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A03" w:rsidRDefault="005B7A03" w:rsidP="005B7A03">
            <w:pPr>
              <w:pStyle w:val="Standard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  <w:p w:rsidR="00AB0E72" w:rsidRPr="00930809" w:rsidRDefault="005B7A03" w:rsidP="005B7A03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Согласно Правилам землепользования и застройки городского округа «Город Орел», утвержденным Решением Орловского городского Совета народных депутатов от 30.10.2008 № 38/616-ГС, в градостроительном регламенте территориальной зоны делового, общественного и коммерческого назначения (О-1) не предусмотрен вид разрешенного использования земельного участка «склады» (код 6.9). Земельный участок с кадастровым номером </w:t>
            </w:r>
            <w:r w:rsidRPr="008750E5">
              <w:rPr>
                <w:rStyle w:val="fStyle"/>
                <w:rFonts w:eastAsia="Arial"/>
                <w:lang w:val="ru-RU"/>
              </w:rPr>
              <w:t xml:space="preserve">57:25:0030116:767 </w:t>
            </w:r>
            <w:r>
              <w:rPr>
                <w:rFonts w:cs="Times New Roman"/>
                <w:sz w:val="28"/>
                <w:szCs w:val="28"/>
                <w:lang w:val="ru-RU"/>
              </w:rPr>
              <w:t>находится в частной собственности. В соответствии со статьей 209 Гражданского кодекса РФ собственнику принадлежат права владения, пользования и распоряжения своим имуществом.</w:t>
            </w:r>
          </w:p>
        </w:tc>
      </w:tr>
      <w:tr w:rsidR="00AB0E72" w:rsidRPr="00A44A3E" w:rsidTr="00AB0E72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0E72" w:rsidRPr="00A50C82" w:rsidRDefault="00053829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E72" w:rsidRDefault="00AB0E72" w:rsidP="00053829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прошлом году мы направляли решение общего собрания с жалобой на строительство  депутату нашего Железнодорожного района. </w:t>
            </w:r>
            <w:r w:rsidR="008750E5">
              <w:rPr>
                <w:rFonts w:cs="Times New Roman"/>
                <w:sz w:val="28"/>
                <w:szCs w:val="28"/>
                <w:lang w:val="ru-RU"/>
              </w:rPr>
              <w:t>Депутат направил в прокуратуру Ж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елезнодорожного района, которая в свою очередь направила в Управление градостроительства, архитектуры и землеустройства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Орловской области. Ответа на нашу жалобу мы так и не получили.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E72" w:rsidRDefault="005B7A03" w:rsidP="000376C9">
            <w:pPr>
              <w:pStyle w:val="Standard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  <w:p w:rsidR="005B7A03" w:rsidRPr="00930809" w:rsidRDefault="005B7A03" w:rsidP="000376C9">
            <w:pPr>
              <w:pStyle w:val="Standard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Направить документы, приложенные к коллективному заявлению. </w:t>
            </w:r>
          </w:p>
        </w:tc>
      </w:tr>
    </w:tbl>
    <w:p w:rsidR="00C463DB" w:rsidRDefault="00C463DB" w:rsidP="009C687A">
      <w:pPr>
        <w:pStyle w:val="Standard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C4DB0" w:rsidRPr="00A50C82" w:rsidRDefault="007C4DB0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253"/>
      </w:tblGrid>
      <w:tr w:rsidR="00A018F5" w:rsidRPr="00A50C82" w:rsidTr="005B7A0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736B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736BA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736BA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Pr="00A50C82">
              <w:rPr>
                <w:b/>
                <w:bCs/>
                <w:sz w:val="28"/>
                <w:szCs w:val="28"/>
              </w:rPr>
              <w:t>комиссии</w:t>
            </w:r>
          </w:p>
        </w:tc>
      </w:tr>
      <w:tr w:rsidR="000D6A36" w:rsidRPr="00C463DB" w:rsidTr="005B7A03">
        <w:trPr>
          <w:trHeight w:val="411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A36" w:rsidRPr="00A50C82" w:rsidRDefault="000D6A36" w:rsidP="000D6A3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5415FB" w:rsidRDefault="000376C9" w:rsidP="000376C9">
            <w:pPr>
              <w:pStyle w:val="Standard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5FB" w:rsidRPr="004F7226" w:rsidRDefault="000376C9" w:rsidP="000376C9">
            <w:pPr>
              <w:pStyle w:val="Standard"/>
              <w:spacing w:line="20" w:lineRule="atLeast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665D3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D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A665D3" w:rsidRDefault="00A018F5" w:rsidP="00C463D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1. Публичные слушания </w:t>
      </w:r>
      <w:proofErr w:type="gramStart"/>
      <w:r w:rsidRPr="00A665D3">
        <w:rPr>
          <w:sz w:val="28"/>
          <w:szCs w:val="28"/>
          <w:lang w:val="ru-RU"/>
        </w:rPr>
        <w:t xml:space="preserve">в городе Орле по </w:t>
      </w:r>
      <w:r w:rsidR="003878A2" w:rsidRPr="00A665D3">
        <w:rPr>
          <w:sz w:val="28"/>
          <w:szCs w:val="28"/>
          <w:lang w:val="ru-RU"/>
        </w:rPr>
        <w:t xml:space="preserve">вопросу </w:t>
      </w:r>
      <w:r w:rsidR="005B7A03">
        <w:rPr>
          <w:sz w:val="28"/>
          <w:szCs w:val="28"/>
          <w:lang w:val="ru-RU"/>
        </w:rPr>
        <w:t>п</w:t>
      </w:r>
      <w:r w:rsidR="005B7A03" w:rsidRPr="005B7A03">
        <w:rPr>
          <w:sz w:val="28"/>
          <w:szCs w:val="28"/>
          <w:lang w:val="ru-RU"/>
        </w:rPr>
        <w:t>редоставлени</w:t>
      </w:r>
      <w:r w:rsidR="005B7A03">
        <w:rPr>
          <w:sz w:val="28"/>
          <w:szCs w:val="28"/>
          <w:lang w:val="ru-RU"/>
        </w:rPr>
        <w:t>я</w:t>
      </w:r>
      <w:r w:rsidR="005B7A03" w:rsidRPr="005B7A03">
        <w:rPr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proofErr w:type="gramEnd"/>
      <w:r w:rsidR="005B7A03" w:rsidRPr="005B7A03">
        <w:rPr>
          <w:sz w:val="28"/>
          <w:szCs w:val="28"/>
          <w:lang w:val="ru-RU"/>
        </w:rPr>
        <w:t xml:space="preserve"> с кадастровым номером 57:25:0030116:767, расположенном по адресу: </w:t>
      </w:r>
      <w:proofErr w:type="gramStart"/>
      <w:r w:rsidR="005B7A03" w:rsidRPr="005B7A03">
        <w:rPr>
          <w:sz w:val="28"/>
          <w:szCs w:val="28"/>
          <w:lang w:val="ru-RU"/>
        </w:rPr>
        <w:t>Российская Федерация, Орловская область, г. Орел, ул. Гайдара, в части в части минимальных отступов от границ земельного участка с северной стороны – 2,8 м, с северо-западной стороны – 2,1 м, с юго-восточной</w:t>
      </w:r>
      <w:r w:rsidR="005B7A03">
        <w:rPr>
          <w:sz w:val="28"/>
          <w:szCs w:val="28"/>
          <w:lang w:val="ru-RU"/>
        </w:rPr>
        <w:br/>
      </w:r>
      <w:r w:rsidR="005B7A03" w:rsidRPr="005B7A03">
        <w:rPr>
          <w:sz w:val="28"/>
          <w:szCs w:val="28"/>
          <w:lang w:val="ru-RU"/>
        </w:rPr>
        <w:t>стороны – 1 м</w:t>
      </w:r>
      <w:r w:rsidR="00360DE4">
        <w:rPr>
          <w:sz w:val="28"/>
          <w:szCs w:val="28"/>
          <w:lang w:val="ru-RU"/>
        </w:rPr>
        <w:t xml:space="preserve">, </w:t>
      </w:r>
      <w:r w:rsidRPr="00A665D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D51CC7">
        <w:rPr>
          <w:sz w:val="28"/>
          <w:szCs w:val="28"/>
          <w:lang w:val="ru-RU"/>
        </w:rPr>
        <w:t xml:space="preserve"> </w:t>
      </w:r>
      <w:r w:rsidRPr="00A665D3">
        <w:rPr>
          <w:sz w:val="28"/>
          <w:szCs w:val="28"/>
          <w:lang w:val="ru-RU"/>
        </w:rPr>
        <w:t>«Город</w:t>
      </w:r>
      <w:proofErr w:type="gramEnd"/>
      <w:r w:rsidRPr="00A665D3">
        <w:rPr>
          <w:sz w:val="28"/>
          <w:szCs w:val="28"/>
          <w:lang w:val="ru-RU"/>
        </w:rPr>
        <w:t xml:space="preserve"> Орёл».</w:t>
      </w:r>
      <w:r w:rsidR="005B7A03">
        <w:rPr>
          <w:sz w:val="28"/>
          <w:szCs w:val="28"/>
          <w:lang w:val="ru-RU"/>
        </w:rPr>
        <w:t xml:space="preserve">  </w:t>
      </w:r>
    </w:p>
    <w:p w:rsidR="00BB7057" w:rsidRPr="00A665D3" w:rsidRDefault="00502932" w:rsidP="00BB7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2. </w:t>
      </w:r>
      <w:r w:rsidR="00BB7057" w:rsidRPr="00A665D3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BB7057" w:rsidRPr="00A665D3" w:rsidRDefault="00BB7057" w:rsidP="00360DE4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A665D3">
        <w:rPr>
          <w:sz w:val="28"/>
          <w:szCs w:val="28"/>
          <w:lang w:val="ru-RU"/>
        </w:rPr>
        <w:t xml:space="preserve">3. </w:t>
      </w:r>
      <w:r w:rsidR="003C761E">
        <w:rPr>
          <w:sz w:val="28"/>
          <w:szCs w:val="28"/>
          <w:lang w:val="ru-RU"/>
        </w:rPr>
        <w:t xml:space="preserve">Рекомендовать </w:t>
      </w:r>
      <w:r w:rsidRPr="00A665D3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AC75E5">
        <w:rPr>
          <w:sz w:val="28"/>
          <w:szCs w:val="28"/>
          <w:lang w:val="ru-RU"/>
        </w:rPr>
        <w:t>принять р</w:t>
      </w:r>
      <w:r w:rsidR="005670D7" w:rsidRPr="000376C9">
        <w:rPr>
          <w:sz w:val="28"/>
          <w:szCs w:val="28"/>
          <w:lang w:val="ru-RU"/>
        </w:rPr>
        <w:t>ешени</w:t>
      </w:r>
      <w:r w:rsidR="00AC75E5">
        <w:rPr>
          <w:sz w:val="28"/>
          <w:szCs w:val="28"/>
          <w:lang w:val="ru-RU"/>
        </w:rPr>
        <w:t xml:space="preserve">е по вопросу о </w:t>
      </w:r>
      <w:r w:rsidR="005B7A03" w:rsidRPr="005B7A03">
        <w:rPr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57:25:0030116:767, расположенном по адресу: Российская Федерация, Орловская область, г. Орел, ул. Гайдара, в части в части минимальных отступов от границ земельного участка с северной стороны – 2,8 м, с северо-западной стороны – 2,1 м, с юго-восточной</w:t>
      </w:r>
      <w:r w:rsidR="005B7A03">
        <w:rPr>
          <w:sz w:val="28"/>
          <w:szCs w:val="28"/>
          <w:lang w:val="ru-RU"/>
        </w:rPr>
        <w:br/>
      </w:r>
      <w:r w:rsidR="005B7A03" w:rsidRPr="005B7A03">
        <w:rPr>
          <w:sz w:val="28"/>
          <w:szCs w:val="28"/>
          <w:lang w:val="ru-RU"/>
        </w:rPr>
        <w:t>стороны – 1 м</w:t>
      </w:r>
      <w:r w:rsidR="000046BC">
        <w:rPr>
          <w:sz w:val="28"/>
          <w:szCs w:val="28"/>
          <w:lang w:val="ru-RU"/>
        </w:rPr>
        <w:t>,</w:t>
      </w:r>
      <w:r w:rsidR="00A665D3" w:rsidRPr="00A665D3">
        <w:rPr>
          <w:sz w:val="28"/>
          <w:szCs w:val="28"/>
          <w:lang w:val="ru-RU"/>
        </w:rPr>
        <w:t xml:space="preserve"> </w:t>
      </w:r>
      <w:r w:rsidRPr="00A665D3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BB7057" w:rsidRPr="00A665D3" w:rsidRDefault="00BB7057" w:rsidP="00BB7057">
      <w:pPr>
        <w:pStyle w:val="Standard"/>
        <w:jc w:val="both"/>
        <w:rPr>
          <w:sz w:val="28"/>
          <w:szCs w:val="28"/>
          <w:lang w:val="ru-RU"/>
        </w:rPr>
      </w:pPr>
    </w:p>
    <w:p w:rsidR="00C25C2D" w:rsidRPr="00A665D3" w:rsidRDefault="00C25C2D" w:rsidP="00BB7057">
      <w:pPr>
        <w:pStyle w:val="Standard"/>
        <w:jc w:val="both"/>
        <w:rPr>
          <w:sz w:val="28"/>
          <w:szCs w:val="28"/>
          <w:lang w:val="ru-RU"/>
        </w:rPr>
      </w:pP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85192C" w:rsidRDefault="0085192C" w:rsidP="0085192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5C0DB9">
        <w:rPr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473CBC" w:rsidRPr="005415FB" w:rsidRDefault="00473CBC" w:rsidP="00473CBC">
      <w:pPr>
        <w:pStyle w:val="Standard"/>
        <w:rPr>
          <w:sz w:val="28"/>
          <w:szCs w:val="28"/>
          <w:lang w:val="ru-RU"/>
        </w:rPr>
      </w:pPr>
    </w:p>
    <w:p w:rsidR="00053829" w:rsidRDefault="00053829" w:rsidP="0005382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053829" w:rsidRDefault="00053829" w:rsidP="0005382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053829" w:rsidRDefault="00053829" w:rsidP="00053829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3B7EB2" w:rsidRPr="00A44A3E" w:rsidRDefault="00053829" w:rsidP="00A44A3E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bookmarkStart w:id="0" w:name="_GoBack"/>
      <w:bookmarkEnd w:id="0"/>
      <w:proofErr w:type="gramEnd"/>
    </w:p>
    <w:sectPr w:rsidR="003B7EB2" w:rsidRPr="00A44A3E" w:rsidSect="00C25C2D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046BC"/>
    <w:rsid w:val="000376C9"/>
    <w:rsid w:val="00040DC7"/>
    <w:rsid w:val="00043C77"/>
    <w:rsid w:val="00053829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C1F74"/>
    <w:rsid w:val="000D208D"/>
    <w:rsid w:val="000D6A36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241BD"/>
    <w:rsid w:val="00230CE0"/>
    <w:rsid w:val="00233B8A"/>
    <w:rsid w:val="002359C7"/>
    <w:rsid w:val="002515CB"/>
    <w:rsid w:val="00257389"/>
    <w:rsid w:val="00263482"/>
    <w:rsid w:val="00264889"/>
    <w:rsid w:val="00267851"/>
    <w:rsid w:val="00270D25"/>
    <w:rsid w:val="00272A6C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1421"/>
    <w:rsid w:val="002D6D0B"/>
    <w:rsid w:val="002E51B4"/>
    <w:rsid w:val="002E7CEF"/>
    <w:rsid w:val="002F2135"/>
    <w:rsid w:val="002F45E6"/>
    <w:rsid w:val="002F698C"/>
    <w:rsid w:val="002F6AAC"/>
    <w:rsid w:val="003009CE"/>
    <w:rsid w:val="0031538E"/>
    <w:rsid w:val="00347233"/>
    <w:rsid w:val="00352BD0"/>
    <w:rsid w:val="00360DE4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B7EB2"/>
    <w:rsid w:val="003C4D76"/>
    <w:rsid w:val="003C761E"/>
    <w:rsid w:val="003D094F"/>
    <w:rsid w:val="003D242B"/>
    <w:rsid w:val="003E1857"/>
    <w:rsid w:val="003F0753"/>
    <w:rsid w:val="003F07C3"/>
    <w:rsid w:val="003F63F2"/>
    <w:rsid w:val="00411B57"/>
    <w:rsid w:val="00431278"/>
    <w:rsid w:val="00436FED"/>
    <w:rsid w:val="00444B56"/>
    <w:rsid w:val="00451482"/>
    <w:rsid w:val="00454CCF"/>
    <w:rsid w:val="0045639E"/>
    <w:rsid w:val="004704D4"/>
    <w:rsid w:val="00472E3A"/>
    <w:rsid w:val="00473CBC"/>
    <w:rsid w:val="004819A2"/>
    <w:rsid w:val="00483A08"/>
    <w:rsid w:val="0048550F"/>
    <w:rsid w:val="00490CEC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226"/>
    <w:rsid w:val="004F7E90"/>
    <w:rsid w:val="00502932"/>
    <w:rsid w:val="005071A8"/>
    <w:rsid w:val="00512EFC"/>
    <w:rsid w:val="00520326"/>
    <w:rsid w:val="00523D11"/>
    <w:rsid w:val="00524875"/>
    <w:rsid w:val="005279CA"/>
    <w:rsid w:val="00527E1C"/>
    <w:rsid w:val="00534D6A"/>
    <w:rsid w:val="005412E9"/>
    <w:rsid w:val="005415FB"/>
    <w:rsid w:val="00541C23"/>
    <w:rsid w:val="005453E8"/>
    <w:rsid w:val="0056506B"/>
    <w:rsid w:val="00566262"/>
    <w:rsid w:val="005670D7"/>
    <w:rsid w:val="005676DC"/>
    <w:rsid w:val="00577492"/>
    <w:rsid w:val="00581405"/>
    <w:rsid w:val="0058295F"/>
    <w:rsid w:val="005937B1"/>
    <w:rsid w:val="005B0266"/>
    <w:rsid w:val="005B42B3"/>
    <w:rsid w:val="005B7A03"/>
    <w:rsid w:val="005C0DB9"/>
    <w:rsid w:val="005C46E7"/>
    <w:rsid w:val="005C7D53"/>
    <w:rsid w:val="005D3394"/>
    <w:rsid w:val="005D49A0"/>
    <w:rsid w:val="005D54F3"/>
    <w:rsid w:val="005D676B"/>
    <w:rsid w:val="005D70E0"/>
    <w:rsid w:val="005E7D53"/>
    <w:rsid w:val="005F4CDA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55A9D"/>
    <w:rsid w:val="00663B2E"/>
    <w:rsid w:val="00675AFD"/>
    <w:rsid w:val="00687A43"/>
    <w:rsid w:val="006934C5"/>
    <w:rsid w:val="00695AF6"/>
    <w:rsid w:val="0069639E"/>
    <w:rsid w:val="00697AA0"/>
    <w:rsid w:val="006A59DC"/>
    <w:rsid w:val="006B2F97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4E11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B244A"/>
    <w:rsid w:val="007C04DE"/>
    <w:rsid w:val="007C4DB0"/>
    <w:rsid w:val="007D355F"/>
    <w:rsid w:val="007D3ED2"/>
    <w:rsid w:val="007D4F6C"/>
    <w:rsid w:val="007D50A0"/>
    <w:rsid w:val="007F2E18"/>
    <w:rsid w:val="00803E3B"/>
    <w:rsid w:val="00816ED8"/>
    <w:rsid w:val="0084643E"/>
    <w:rsid w:val="0085192C"/>
    <w:rsid w:val="00854D48"/>
    <w:rsid w:val="00855C22"/>
    <w:rsid w:val="008732A1"/>
    <w:rsid w:val="008750E5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0809"/>
    <w:rsid w:val="00934D83"/>
    <w:rsid w:val="00935989"/>
    <w:rsid w:val="0094221C"/>
    <w:rsid w:val="00942E7A"/>
    <w:rsid w:val="009437C6"/>
    <w:rsid w:val="00953780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A2201"/>
    <w:rsid w:val="009C62DD"/>
    <w:rsid w:val="009C687A"/>
    <w:rsid w:val="009E272B"/>
    <w:rsid w:val="009E28DA"/>
    <w:rsid w:val="009E6129"/>
    <w:rsid w:val="009E776A"/>
    <w:rsid w:val="00A018F5"/>
    <w:rsid w:val="00A02DFC"/>
    <w:rsid w:val="00A17B61"/>
    <w:rsid w:val="00A24724"/>
    <w:rsid w:val="00A41F8C"/>
    <w:rsid w:val="00A44A3E"/>
    <w:rsid w:val="00A50C82"/>
    <w:rsid w:val="00A665D3"/>
    <w:rsid w:val="00A7215F"/>
    <w:rsid w:val="00A74F92"/>
    <w:rsid w:val="00A76CBC"/>
    <w:rsid w:val="00A8422B"/>
    <w:rsid w:val="00A845EE"/>
    <w:rsid w:val="00A918AC"/>
    <w:rsid w:val="00AA2C8C"/>
    <w:rsid w:val="00AA45CD"/>
    <w:rsid w:val="00AA6B6B"/>
    <w:rsid w:val="00AB0E72"/>
    <w:rsid w:val="00AB121D"/>
    <w:rsid w:val="00AC75E5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25C2D"/>
    <w:rsid w:val="00C30247"/>
    <w:rsid w:val="00C33011"/>
    <w:rsid w:val="00C343AB"/>
    <w:rsid w:val="00C463DB"/>
    <w:rsid w:val="00C46827"/>
    <w:rsid w:val="00C47321"/>
    <w:rsid w:val="00C473B8"/>
    <w:rsid w:val="00C50676"/>
    <w:rsid w:val="00C736BA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51CC7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10784"/>
    <w:rsid w:val="00E23484"/>
    <w:rsid w:val="00E24241"/>
    <w:rsid w:val="00E31402"/>
    <w:rsid w:val="00E33CF2"/>
    <w:rsid w:val="00E37010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4E3E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965"/>
    <w:rsid w:val="00F75E86"/>
    <w:rsid w:val="00F82F17"/>
    <w:rsid w:val="00F83094"/>
    <w:rsid w:val="00F85D8A"/>
    <w:rsid w:val="00F904B1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fStyle">
    <w:name w:val="fStyle"/>
    <w:rsid w:val="00AB0E72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paragraph" w:customStyle="1" w:styleId="pStyle">
    <w:name w:val="pStyle"/>
    <w:basedOn w:val="a"/>
    <w:rsid w:val="005B7A03"/>
    <w:pPr>
      <w:widowControl/>
      <w:suppressAutoHyphens w:val="0"/>
      <w:autoSpaceDN/>
      <w:spacing w:after="200" w:line="276" w:lineRule="auto"/>
    </w:pPr>
    <w:rPr>
      <w:rFonts w:ascii="Arial" w:eastAsia="Arial" w:hAnsi="Arial" w:cs="Arial"/>
      <w:kern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fStyle">
    <w:name w:val="fStyle"/>
    <w:rsid w:val="00AB0E72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paragraph" w:customStyle="1" w:styleId="pStyle">
    <w:name w:val="pStyle"/>
    <w:basedOn w:val="a"/>
    <w:rsid w:val="005B7A03"/>
    <w:pPr>
      <w:widowControl/>
      <w:suppressAutoHyphens w:val="0"/>
      <w:autoSpaceDN/>
      <w:spacing w:after="200" w:line="276" w:lineRule="auto"/>
    </w:pPr>
    <w:rPr>
      <w:rFonts w:ascii="Arial" w:eastAsia="Arial" w:hAnsi="Arial" w:cs="Arial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0A4C-B8E4-4D40-9432-2D50D144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411</cp:revision>
  <cp:lastPrinted>2025-06-23T16:13:00Z</cp:lastPrinted>
  <dcterms:created xsi:type="dcterms:W3CDTF">2018-09-28T09:48:00Z</dcterms:created>
  <dcterms:modified xsi:type="dcterms:W3CDTF">2025-06-26T07:13:00Z</dcterms:modified>
</cp:coreProperties>
</file>