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25" w:rsidRDefault="0017562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75625" w:rsidRDefault="00175625">
      <w:pPr>
        <w:pStyle w:val="ConsPlusNormal"/>
        <w:outlineLvl w:val="0"/>
      </w:pPr>
    </w:p>
    <w:p w:rsidR="00175625" w:rsidRDefault="00175625">
      <w:pPr>
        <w:pStyle w:val="ConsPlusTitle"/>
        <w:jc w:val="center"/>
      </w:pPr>
      <w:r>
        <w:t>ОРЛОВСКИЙ ГОРОДСКОЙ СОВЕТ НАРОДНЫХ ДЕПУТАТОВ</w:t>
      </w:r>
    </w:p>
    <w:p w:rsidR="00175625" w:rsidRDefault="00175625">
      <w:pPr>
        <w:pStyle w:val="ConsPlusTitle"/>
        <w:jc w:val="center"/>
      </w:pPr>
    </w:p>
    <w:p w:rsidR="00175625" w:rsidRDefault="00175625">
      <w:pPr>
        <w:pStyle w:val="ConsPlusTitle"/>
        <w:jc w:val="center"/>
      </w:pPr>
      <w:r>
        <w:t>РЕШЕНИЕ</w:t>
      </w:r>
    </w:p>
    <w:p w:rsidR="00175625" w:rsidRDefault="00175625">
      <w:pPr>
        <w:pStyle w:val="ConsPlusTitle"/>
        <w:jc w:val="center"/>
      </w:pPr>
      <w:r>
        <w:t>от 24 ноября 2016 г. N 16/0359-ГС</w:t>
      </w:r>
    </w:p>
    <w:p w:rsidR="00175625" w:rsidRDefault="00175625">
      <w:pPr>
        <w:pStyle w:val="ConsPlusTitle"/>
        <w:jc w:val="center"/>
      </w:pPr>
    </w:p>
    <w:p w:rsidR="00175625" w:rsidRDefault="00175625">
      <w:pPr>
        <w:pStyle w:val="ConsPlusTitle"/>
        <w:jc w:val="center"/>
      </w:pPr>
      <w:r>
        <w:t>ОБ УСТАНОВЛЕНИИ НАЛОГА НА ИМУЩЕСТВО ФИЗИЧЕСКИХ ЛИЦ</w:t>
      </w:r>
    </w:p>
    <w:p w:rsidR="00175625" w:rsidRDefault="001756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75625" w:rsidRPr="001756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625" w:rsidRDefault="001756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625" w:rsidRDefault="001756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625" w:rsidRDefault="001756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625" w:rsidRDefault="001756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Орловского городского Совета народных депутатов</w:t>
            </w:r>
            <w:proofErr w:type="gramEnd"/>
          </w:p>
          <w:p w:rsidR="00175625" w:rsidRDefault="001756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25.12.2018 </w:t>
            </w:r>
            <w:hyperlink r:id="rId5">
              <w:r>
                <w:rPr>
                  <w:color w:val="0000FF"/>
                </w:rPr>
                <w:t>N 47/0858-ГС</w:t>
              </w:r>
            </w:hyperlink>
            <w:r>
              <w:rPr>
                <w:color w:val="392C69"/>
              </w:rPr>
              <w:t xml:space="preserve">, от 27.11.2024 </w:t>
            </w:r>
            <w:hyperlink r:id="rId6">
              <w:r>
                <w:rPr>
                  <w:color w:val="0000FF"/>
                </w:rPr>
                <w:t>N 59/0870-ГС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625" w:rsidRDefault="00175625">
            <w:pPr>
              <w:pStyle w:val="ConsPlusNormal"/>
            </w:pPr>
          </w:p>
        </w:tc>
      </w:tr>
    </w:tbl>
    <w:p w:rsidR="00175625" w:rsidRDefault="00175625">
      <w:pPr>
        <w:pStyle w:val="ConsPlusNormal"/>
        <w:ind w:firstLine="540"/>
        <w:jc w:val="both"/>
      </w:pPr>
    </w:p>
    <w:p w:rsidR="00175625" w:rsidRDefault="0017562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04.10.2014 N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лиц", Налоговым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Законом</w:t>
        </w:r>
      </w:hyperlink>
      <w:r>
        <w:t xml:space="preserve"> Орловской</w:t>
      </w:r>
      <w:proofErr w:type="gramEnd"/>
      <w:r>
        <w:t xml:space="preserve"> области от 07.11.2016 N 2030-ОЗ "Об установлении единой даты начала применения на территории Орловской области порядка определения налоговой базы по налогу на имущество физических лиц исходя из кадастровой стоимости объектов налогообложения" и </w:t>
      </w:r>
      <w:hyperlink r:id="rId11">
        <w:r>
          <w:rPr>
            <w:color w:val="0000FF"/>
          </w:rPr>
          <w:t>Уставом</w:t>
        </w:r>
      </w:hyperlink>
      <w:r>
        <w:t xml:space="preserve"> города Орла Орловский городской Совет народных депутатов решил:</w:t>
      </w:r>
    </w:p>
    <w:p w:rsidR="00175625" w:rsidRDefault="00175625">
      <w:pPr>
        <w:pStyle w:val="ConsPlusNormal"/>
        <w:ind w:firstLine="540"/>
        <w:jc w:val="both"/>
      </w:pPr>
    </w:p>
    <w:p w:rsidR="00175625" w:rsidRDefault="00175625">
      <w:pPr>
        <w:pStyle w:val="ConsPlusNormal"/>
        <w:ind w:firstLine="540"/>
        <w:jc w:val="both"/>
      </w:pPr>
      <w:r>
        <w:t>1. Установить и ввести в действие с 1 января 2017 года на территории города Орла налог на имущество физических лиц (далее - налог).</w:t>
      </w:r>
    </w:p>
    <w:p w:rsidR="00175625" w:rsidRDefault="00175625">
      <w:pPr>
        <w:pStyle w:val="ConsPlusNormal"/>
        <w:spacing w:before="240"/>
        <w:ind w:firstLine="540"/>
        <w:jc w:val="both"/>
      </w:pPr>
      <w: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175625" w:rsidRDefault="00175625">
      <w:pPr>
        <w:pStyle w:val="ConsPlusNormal"/>
        <w:spacing w:before="240"/>
        <w:ind w:firstLine="540"/>
        <w:jc w:val="both"/>
      </w:pPr>
      <w:r>
        <w:t>3. Установить налоговые ставки в следующих размерах:</w:t>
      </w:r>
    </w:p>
    <w:p w:rsidR="00175625" w:rsidRDefault="00175625">
      <w:pPr>
        <w:pStyle w:val="ConsPlusNormal"/>
        <w:spacing w:before="240"/>
        <w:ind w:firstLine="540"/>
        <w:jc w:val="both"/>
      </w:pPr>
      <w:r>
        <w:t>1) 0,1 процента в отношении:</w:t>
      </w:r>
    </w:p>
    <w:p w:rsidR="00175625" w:rsidRDefault="00175625">
      <w:pPr>
        <w:pStyle w:val="ConsPlusNormal"/>
        <w:spacing w:before="240"/>
        <w:ind w:firstLine="540"/>
        <w:jc w:val="both"/>
      </w:pPr>
      <w:r>
        <w:t>жилых домов, частей жилых домов, квартир, частей квартир, комнат;</w:t>
      </w:r>
    </w:p>
    <w:p w:rsidR="00175625" w:rsidRDefault="0017562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25.12.2018 N 47/0858-ГС)</w:t>
      </w:r>
    </w:p>
    <w:p w:rsidR="00175625" w:rsidRDefault="00175625">
      <w:pPr>
        <w:pStyle w:val="ConsPlusNormal"/>
        <w:spacing w:before="240"/>
        <w:ind w:firstLine="540"/>
        <w:jc w:val="both"/>
      </w:pPr>
      <w: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75625" w:rsidRDefault="00175625">
      <w:pPr>
        <w:pStyle w:val="ConsPlusNormal"/>
        <w:spacing w:before="240"/>
        <w:ind w:firstLine="540"/>
        <w:jc w:val="both"/>
      </w:pPr>
      <w:r>
        <w:t>единых недвижимых комплексов, в состав которых входит хотя бы один жилой дом;</w:t>
      </w:r>
    </w:p>
    <w:p w:rsidR="00175625" w:rsidRDefault="0017562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25.12.2018 N 47/0858-ГС)</w:t>
      </w:r>
    </w:p>
    <w:p w:rsidR="00175625" w:rsidRDefault="00175625">
      <w:pPr>
        <w:pStyle w:val="ConsPlusNormal"/>
        <w:spacing w:before="240"/>
        <w:ind w:firstLine="540"/>
        <w:jc w:val="both"/>
      </w:pPr>
      <w:r>
        <w:t xml:space="preserve">гаражей и </w:t>
      </w:r>
      <w:proofErr w:type="spellStart"/>
      <w:r>
        <w:t>машино-мест</w:t>
      </w:r>
      <w:proofErr w:type="spellEnd"/>
      <w:r>
        <w:t xml:space="preserve">, в том числе расположенных в объектах налогообложения, указанных в </w:t>
      </w:r>
      <w:hyperlink w:anchor="P25">
        <w:r>
          <w:rPr>
            <w:color w:val="0000FF"/>
          </w:rPr>
          <w:t>подпункте 2</w:t>
        </w:r>
      </w:hyperlink>
      <w:r>
        <w:t xml:space="preserve"> настоящего пункта;</w:t>
      </w:r>
    </w:p>
    <w:p w:rsidR="00175625" w:rsidRDefault="0017562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25.12.2018 N 47/0858-ГС)</w:t>
      </w:r>
    </w:p>
    <w:p w:rsidR="00175625" w:rsidRDefault="00175625">
      <w:pPr>
        <w:pStyle w:val="ConsPlusNormal"/>
        <w:spacing w:before="240"/>
        <w:ind w:firstLine="540"/>
        <w:jc w:val="both"/>
      </w:pPr>
      <w: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175625" w:rsidRDefault="00175625">
      <w:pPr>
        <w:pStyle w:val="ConsPlusNormal"/>
        <w:spacing w:before="240"/>
        <w:ind w:firstLine="540"/>
        <w:jc w:val="both"/>
      </w:pPr>
      <w:bookmarkStart w:id="0" w:name="P25"/>
      <w:bookmarkEnd w:id="0"/>
      <w:r>
        <w:t xml:space="preserve">2) 2,0 процента в отношении объектов налогообложения, включенных в перечень, определяемый в соответствии с </w:t>
      </w:r>
      <w:hyperlink r:id="rId15">
        <w:r>
          <w:rPr>
            <w:color w:val="0000FF"/>
          </w:rPr>
          <w:t>пунктом 7 статьи 378.2</w:t>
        </w:r>
      </w:hyperlink>
      <w:r>
        <w:t xml:space="preserve"> Налогового кодекса, в отношении объектов налогообложения, предусмотренных </w:t>
      </w:r>
      <w:hyperlink r:id="rId16">
        <w:r>
          <w:rPr>
            <w:color w:val="0000FF"/>
          </w:rPr>
          <w:t>абзацем вторым пункта 10 статьи 378.2</w:t>
        </w:r>
      </w:hyperlink>
      <w:r>
        <w:t xml:space="preserve"> Налогового кодекса;</w:t>
      </w:r>
    </w:p>
    <w:p w:rsidR="00175625" w:rsidRDefault="0017562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27.11.2024 N 59/0870-ГС)</w:t>
      </w:r>
    </w:p>
    <w:p w:rsidR="00175625" w:rsidRDefault="00175625">
      <w:pPr>
        <w:pStyle w:val="ConsPlusNormal"/>
        <w:spacing w:before="240"/>
        <w:ind w:firstLine="540"/>
        <w:jc w:val="both"/>
      </w:pPr>
      <w: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:rsidR="00175625" w:rsidRDefault="0017562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27.11.2024 N 59/0870-ГС)</w:t>
      </w:r>
    </w:p>
    <w:p w:rsidR="00175625" w:rsidRDefault="00175625">
      <w:pPr>
        <w:pStyle w:val="ConsPlusNormal"/>
        <w:spacing w:before="240"/>
        <w:ind w:firstLine="540"/>
        <w:jc w:val="both"/>
      </w:pPr>
      <w:r>
        <w:t>3) 0,5 процента в отношении прочих объектов налогообложения.</w:t>
      </w:r>
    </w:p>
    <w:p w:rsidR="00175625" w:rsidRDefault="00175625">
      <w:pPr>
        <w:pStyle w:val="ConsPlusNormal"/>
        <w:spacing w:before="240"/>
        <w:ind w:firstLine="540"/>
        <w:jc w:val="both"/>
      </w:pPr>
      <w:r>
        <w:t xml:space="preserve">4. В дополнение к льготам, предусмотренным </w:t>
      </w:r>
      <w:hyperlink r:id="rId19">
        <w:r>
          <w:rPr>
            <w:color w:val="0000FF"/>
          </w:rPr>
          <w:t>статьей 407</w:t>
        </w:r>
      </w:hyperlink>
      <w:r>
        <w:t xml:space="preserve"> Налогового кодекса Российской Федерации, с учетом положений указанной </w:t>
      </w:r>
      <w:hyperlink r:id="rId20">
        <w:r>
          <w:rPr>
            <w:color w:val="0000FF"/>
          </w:rPr>
          <w:t>статьи</w:t>
        </w:r>
      </w:hyperlink>
      <w:r>
        <w:t xml:space="preserve"> установить, что право на налоговую льготу имеют следующие категории налогоплательщиков:</w:t>
      </w:r>
    </w:p>
    <w:p w:rsidR="00175625" w:rsidRDefault="00175625">
      <w:pPr>
        <w:pStyle w:val="ConsPlusNormal"/>
        <w:spacing w:before="240"/>
        <w:ind w:firstLine="540"/>
        <w:jc w:val="both"/>
      </w:pPr>
      <w:r>
        <w:t xml:space="preserve">члены многодетных семей, имеющих статус в соответствии с </w:t>
      </w:r>
      <w:hyperlink r:id="rId21">
        <w:r>
          <w:rPr>
            <w:color w:val="0000FF"/>
          </w:rPr>
          <w:t>Законом</w:t>
        </w:r>
      </w:hyperlink>
      <w:r>
        <w:t xml:space="preserve"> Орловской области от 02.10.2003 N 350-ОЗ "О статусе многодетной семьи в Орловской области и мерах ее социальной поддержки".</w:t>
      </w:r>
    </w:p>
    <w:p w:rsidR="00175625" w:rsidRDefault="00175625">
      <w:pPr>
        <w:pStyle w:val="ConsPlusNormal"/>
        <w:spacing w:before="240"/>
        <w:ind w:firstLine="540"/>
        <w:jc w:val="both"/>
      </w:pPr>
      <w:bookmarkStart w:id="1" w:name="P32"/>
      <w:bookmarkEnd w:id="1"/>
      <w:r>
        <w:t xml:space="preserve">4.1. </w:t>
      </w:r>
      <w:proofErr w:type="gramStart"/>
      <w:r>
        <w:t xml:space="preserve">Право на налоговую льготу, предусмотренную настоящим пунктом, в 2024 году имеют физические лица в отношении отдельных объектов недвижимого имущества, указанных в </w:t>
      </w:r>
      <w:hyperlink w:anchor="P25">
        <w:r>
          <w:rPr>
            <w:color w:val="0000FF"/>
          </w:rPr>
          <w:t>подпункте 2 пункта 3</w:t>
        </w:r>
      </w:hyperlink>
      <w:r>
        <w:t xml:space="preserve"> настоящего решения, при условии, что кадастровая стоимость таких объектов недвижимого имущества, внесенная в Единый государственный реестр недвижимости и подлежащая применению с 1 января 2024 года, превышает кадастровую стоимость указанных объектов недвижимого имущества, внесенную в Единый</w:t>
      </w:r>
      <w:proofErr w:type="gramEnd"/>
      <w:r>
        <w:t xml:space="preserve"> </w:t>
      </w:r>
      <w:proofErr w:type="gramStart"/>
      <w:r>
        <w:t>государственный реестр недвижимости и подлежащую применению с 1 января 2023 года, за исключением случаев, если кадастровая стоимость соответствующих объектов недвижимого имущества увеличилась вследствие изменения их характеристик.</w:t>
      </w:r>
      <w:proofErr w:type="gramEnd"/>
    </w:p>
    <w:p w:rsidR="00175625" w:rsidRDefault="00175625">
      <w:pPr>
        <w:pStyle w:val="ConsPlusNormal"/>
        <w:spacing w:before="240"/>
        <w:ind w:firstLine="540"/>
        <w:jc w:val="both"/>
      </w:pPr>
      <w:proofErr w:type="gramStart"/>
      <w:r>
        <w:t xml:space="preserve">Налоговая льгота, предусмотренная настоящим пунктом, предоставляется в отношении объектов недвижимого имущества, указанных в </w:t>
      </w:r>
      <w:hyperlink w:anchor="P32">
        <w:r>
          <w:rPr>
            <w:color w:val="0000FF"/>
          </w:rPr>
          <w:t>абзаце первом</w:t>
        </w:r>
      </w:hyperlink>
      <w:r>
        <w:t xml:space="preserve"> настоящего пункта, при условии, что сумма налога на имущество физических лиц за налоговый период 2024 года, исчисленная исходя из кадастровой стоимости объекта недвижимого имущества по ставке, установленной </w:t>
      </w:r>
      <w:hyperlink w:anchor="P25">
        <w:r>
          <w:rPr>
            <w:color w:val="0000FF"/>
          </w:rPr>
          <w:t>подпунктом 2 пункта 3</w:t>
        </w:r>
      </w:hyperlink>
      <w:r>
        <w:t xml:space="preserve"> настоящего решения (без учета положений </w:t>
      </w:r>
      <w:hyperlink r:id="rId22">
        <w:r>
          <w:rPr>
            <w:color w:val="0000FF"/>
          </w:rPr>
          <w:t>пункта 5 статьи 408</w:t>
        </w:r>
      </w:hyperlink>
      <w:r>
        <w:t xml:space="preserve"> Налогового кодекса Российской Федерации), внесенной</w:t>
      </w:r>
      <w:proofErr w:type="gramEnd"/>
      <w:r>
        <w:t xml:space="preserve"> </w:t>
      </w:r>
      <w:proofErr w:type="gramStart"/>
      <w:r>
        <w:t xml:space="preserve">в Единый государственный реестр недвижимости и подлежащей применению с 1 января 2024 года, превышает на 20 процентов (включительно) и более сумму налога за налоговый период 2023 года, исчисленную исходя из кадастровой стоимости объекта недвижимого имущества по ставке, установленной </w:t>
      </w:r>
      <w:hyperlink w:anchor="P25">
        <w:r>
          <w:rPr>
            <w:color w:val="0000FF"/>
          </w:rPr>
          <w:t>подпунктом 2 пункта 3</w:t>
        </w:r>
      </w:hyperlink>
      <w:r>
        <w:t xml:space="preserve"> настоящего решения (без учета положений </w:t>
      </w:r>
      <w:hyperlink r:id="rId23">
        <w:r>
          <w:rPr>
            <w:color w:val="0000FF"/>
          </w:rPr>
          <w:t>пункта 5 статьи 408</w:t>
        </w:r>
      </w:hyperlink>
      <w:r>
        <w:t xml:space="preserve"> Налогового кодекса Российской Федерации), внесенной в Единый государственный реестр</w:t>
      </w:r>
      <w:proofErr w:type="gramEnd"/>
      <w:r>
        <w:t xml:space="preserve"> недвижимости и подлежащей применению с 1 января 2023 года.</w:t>
      </w:r>
    </w:p>
    <w:p w:rsidR="00175625" w:rsidRDefault="00175625">
      <w:pPr>
        <w:pStyle w:val="ConsPlusNormal"/>
        <w:spacing w:before="240"/>
        <w:ind w:firstLine="540"/>
        <w:jc w:val="both"/>
      </w:pPr>
      <w:r>
        <w:lastRenderedPageBreak/>
        <w:t>Налоговая льгота, предусмотренная настоящим пунктом, предоставляется в виде уменьшения суммы налога на имущество физических лиц, подлежащей уплате в бюджет города Орла за налоговый период 2024 года, на величину, рассчитанную по формуле:</w:t>
      </w:r>
    </w:p>
    <w:p w:rsidR="00175625" w:rsidRDefault="00175625">
      <w:pPr>
        <w:pStyle w:val="ConsPlusNormal"/>
        <w:ind w:firstLine="540"/>
        <w:jc w:val="both"/>
      </w:pPr>
    </w:p>
    <w:p w:rsidR="00175625" w:rsidRDefault="00175625">
      <w:pPr>
        <w:pStyle w:val="ConsPlusNormal"/>
        <w:jc w:val="center"/>
      </w:pPr>
      <w:r>
        <w:t xml:space="preserve">НЛ = Н2024 - (Н2023 </w:t>
      </w:r>
      <w:proofErr w:type="spellStart"/>
      <w:r>
        <w:t>x</w:t>
      </w:r>
      <w:proofErr w:type="spellEnd"/>
      <w:r>
        <w:t xml:space="preserve"> 1,2), где:</w:t>
      </w:r>
    </w:p>
    <w:p w:rsidR="00175625" w:rsidRDefault="00175625">
      <w:pPr>
        <w:pStyle w:val="ConsPlusNormal"/>
        <w:ind w:firstLine="540"/>
        <w:jc w:val="both"/>
      </w:pPr>
    </w:p>
    <w:p w:rsidR="00175625" w:rsidRDefault="00175625">
      <w:pPr>
        <w:pStyle w:val="ConsPlusNormal"/>
        <w:ind w:firstLine="540"/>
        <w:jc w:val="both"/>
      </w:pPr>
      <w:r>
        <w:t>НЛ - размер налоговой льготы, на которую уменьшается сумма налога на имущество физических лиц, исчисленная за 2024 год;</w:t>
      </w:r>
    </w:p>
    <w:p w:rsidR="00175625" w:rsidRDefault="00175625">
      <w:pPr>
        <w:pStyle w:val="ConsPlusNormal"/>
        <w:spacing w:before="240"/>
        <w:ind w:firstLine="540"/>
        <w:jc w:val="both"/>
      </w:pPr>
      <w:r>
        <w:t>Н2024 - общая сумма налога на имущество физических лиц, исчисленная за налоговый период 2024 года в отношении объектов недвижимого имущества, указанных в настоящем пункте, налоговая база по которым определена как кадастровая стоимость, внесенная в Единый государственный реестр недвижимости и подлежащая применению с 1 января 2024 года;</w:t>
      </w:r>
    </w:p>
    <w:p w:rsidR="00175625" w:rsidRDefault="00175625">
      <w:pPr>
        <w:pStyle w:val="ConsPlusNormal"/>
        <w:spacing w:before="240"/>
        <w:ind w:firstLine="540"/>
        <w:jc w:val="both"/>
      </w:pPr>
      <w:r>
        <w:t xml:space="preserve">Н2023 - общая сумма налога на имущество физических лиц, исчисленная за налоговый период 2023 года в отношении объектов недвижимого имущества, указанных в настоящем пункте, исходя из их кадастровой стоимости, внесенной в Единый государственный реестр недвижимости и подлежащей применению с 1 января 2023 года. </w:t>
      </w:r>
      <w:proofErr w:type="gramStart"/>
      <w:r>
        <w:t xml:space="preserve">В отношении объектов недвижимого имущества, включенных с налогового периода 2024 года в перечень объектов недвижимого имущества, определенный в соответствии с </w:t>
      </w:r>
      <w:hyperlink r:id="rId24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в отношении которых налоговая база определяется как кадастровая стоимость имущества, показатель Н2023 определяется расчетным путем исходя из кадастровой стоимости указанного объекта (без учета положений </w:t>
      </w:r>
      <w:hyperlink r:id="rId25">
        <w:r>
          <w:rPr>
            <w:color w:val="0000FF"/>
          </w:rPr>
          <w:t>пункта 5 статьи 408</w:t>
        </w:r>
      </w:hyperlink>
      <w:r>
        <w:t xml:space="preserve"> Налогового кодекса Российской Федерации</w:t>
      </w:r>
      <w:proofErr w:type="gramEnd"/>
      <w:r>
        <w:t xml:space="preserve">), внесенной в Единый государственный реестр недвижимости и подлежащей применению с 1 января 2023 года, и действующей в 2023 году налоговой ставки, установленной </w:t>
      </w:r>
      <w:hyperlink w:anchor="P25">
        <w:r>
          <w:rPr>
            <w:color w:val="0000FF"/>
          </w:rPr>
          <w:t>подпунктом 2 пункта 3</w:t>
        </w:r>
      </w:hyperlink>
      <w:r>
        <w:t xml:space="preserve"> настоящего решения.</w:t>
      </w:r>
    </w:p>
    <w:p w:rsidR="00175625" w:rsidRDefault="00175625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27.11.2024 N 59/0870-ГС)</w:t>
      </w:r>
    </w:p>
    <w:p w:rsidR="00175625" w:rsidRDefault="00175625">
      <w:pPr>
        <w:pStyle w:val="ConsPlusNormal"/>
        <w:spacing w:before="240"/>
        <w:ind w:firstLine="540"/>
        <w:jc w:val="both"/>
      </w:pPr>
      <w:r>
        <w:t xml:space="preserve">5. Признать утратившим силу </w:t>
      </w:r>
      <w:hyperlink r:id="rId27">
        <w:r>
          <w:rPr>
            <w:color w:val="0000FF"/>
          </w:rPr>
          <w:t>решение</w:t>
        </w:r>
      </w:hyperlink>
      <w:r>
        <w:t xml:space="preserve"> Орловского городского Совета народных депутатов от 27 ноября 2014 года N 57/1041-ГС "Об установлении налога на имущество физических лиц".</w:t>
      </w:r>
    </w:p>
    <w:p w:rsidR="00175625" w:rsidRDefault="00175625">
      <w:pPr>
        <w:pStyle w:val="ConsPlusNormal"/>
        <w:spacing w:before="240"/>
        <w:ind w:firstLine="540"/>
        <w:jc w:val="both"/>
      </w:pPr>
      <w:r>
        <w:t>6. Настоящее решение вступает в силу с 1 января 2017 года, но не ранее чем по истечении одного месяца со дня его официального опубликования.</w:t>
      </w:r>
    </w:p>
    <w:p w:rsidR="00175625" w:rsidRDefault="00175625">
      <w:pPr>
        <w:pStyle w:val="ConsPlusNormal"/>
        <w:ind w:firstLine="540"/>
        <w:jc w:val="both"/>
      </w:pPr>
    </w:p>
    <w:p w:rsidR="00175625" w:rsidRDefault="00175625">
      <w:pPr>
        <w:pStyle w:val="ConsPlusNormal"/>
        <w:jc w:val="right"/>
      </w:pPr>
      <w:r>
        <w:t>Мэр города Орла</w:t>
      </w:r>
    </w:p>
    <w:p w:rsidR="00175625" w:rsidRDefault="00175625">
      <w:pPr>
        <w:pStyle w:val="ConsPlusNormal"/>
        <w:jc w:val="right"/>
      </w:pPr>
      <w:r>
        <w:t>В.Ф.НОВИКОВ</w:t>
      </w:r>
    </w:p>
    <w:p w:rsidR="00175625" w:rsidRDefault="00175625">
      <w:pPr>
        <w:pStyle w:val="ConsPlusNormal"/>
        <w:ind w:firstLine="540"/>
        <w:jc w:val="both"/>
      </w:pPr>
    </w:p>
    <w:p w:rsidR="00175625" w:rsidRDefault="00175625">
      <w:pPr>
        <w:pStyle w:val="ConsPlusNormal"/>
        <w:ind w:firstLine="540"/>
        <w:jc w:val="both"/>
      </w:pPr>
    </w:p>
    <w:p w:rsidR="00175625" w:rsidRDefault="001756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2F34" w:rsidRPr="00175625" w:rsidRDefault="00832F34">
      <w:pPr>
        <w:rPr>
          <w:lang w:val="ru-RU"/>
        </w:rPr>
      </w:pPr>
    </w:p>
    <w:sectPr w:rsidR="00832F34" w:rsidRPr="00175625" w:rsidSect="004F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625"/>
    <w:rsid w:val="0006774B"/>
    <w:rsid w:val="000C78E5"/>
    <w:rsid w:val="00157992"/>
    <w:rsid w:val="00175625"/>
    <w:rsid w:val="00196A5D"/>
    <w:rsid w:val="001E6F27"/>
    <w:rsid w:val="001F5481"/>
    <w:rsid w:val="00276635"/>
    <w:rsid w:val="002A68C6"/>
    <w:rsid w:val="002E3065"/>
    <w:rsid w:val="003226F9"/>
    <w:rsid w:val="003410A3"/>
    <w:rsid w:val="00345433"/>
    <w:rsid w:val="003E17C3"/>
    <w:rsid w:val="004357D8"/>
    <w:rsid w:val="00444C34"/>
    <w:rsid w:val="00494A33"/>
    <w:rsid w:val="004F4109"/>
    <w:rsid w:val="005922FF"/>
    <w:rsid w:val="006C21C7"/>
    <w:rsid w:val="006C6A8F"/>
    <w:rsid w:val="00760AEA"/>
    <w:rsid w:val="007A333C"/>
    <w:rsid w:val="00815AED"/>
    <w:rsid w:val="00832F34"/>
    <w:rsid w:val="00861E2D"/>
    <w:rsid w:val="0090764D"/>
    <w:rsid w:val="00985B77"/>
    <w:rsid w:val="00A7545B"/>
    <w:rsid w:val="00B06490"/>
    <w:rsid w:val="00B3440D"/>
    <w:rsid w:val="00B743E5"/>
    <w:rsid w:val="00BD15F0"/>
    <w:rsid w:val="00D24EB7"/>
    <w:rsid w:val="00D461CE"/>
    <w:rsid w:val="00D901AB"/>
    <w:rsid w:val="00E83E7D"/>
    <w:rsid w:val="00E968C9"/>
    <w:rsid w:val="00FA0AB3"/>
    <w:rsid w:val="00FD1A37"/>
    <w:rsid w:val="00FD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3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66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6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63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63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63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63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63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63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63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6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66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66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663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7663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663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7663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663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663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766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766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7663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7663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76635"/>
    <w:rPr>
      <w:b/>
      <w:bCs/>
    </w:rPr>
  </w:style>
  <w:style w:type="character" w:styleId="a8">
    <w:name w:val="Emphasis"/>
    <w:basedOn w:val="a0"/>
    <w:uiPriority w:val="20"/>
    <w:qFormat/>
    <w:rsid w:val="0027663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76635"/>
    <w:rPr>
      <w:szCs w:val="32"/>
    </w:rPr>
  </w:style>
  <w:style w:type="paragraph" w:styleId="aa">
    <w:name w:val="List Paragraph"/>
    <w:basedOn w:val="a"/>
    <w:uiPriority w:val="34"/>
    <w:qFormat/>
    <w:rsid w:val="002766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6635"/>
    <w:rPr>
      <w:i/>
    </w:rPr>
  </w:style>
  <w:style w:type="character" w:customStyle="1" w:styleId="22">
    <w:name w:val="Цитата 2 Знак"/>
    <w:basedOn w:val="a0"/>
    <w:link w:val="21"/>
    <w:uiPriority w:val="29"/>
    <w:rsid w:val="0027663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7663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76635"/>
    <w:rPr>
      <w:b/>
      <w:i/>
      <w:sz w:val="24"/>
    </w:rPr>
  </w:style>
  <w:style w:type="character" w:styleId="ad">
    <w:name w:val="Subtle Emphasis"/>
    <w:uiPriority w:val="19"/>
    <w:qFormat/>
    <w:rsid w:val="0027663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7663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7663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7663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7663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76635"/>
    <w:pPr>
      <w:outlineLvl w:val="9"/>
    </w:pPr>
  </w:style>
  <w:style w:type="paragraph" w:customStyle="1" w:styleId="ConsPlusNormal">
    <w:name w:val="ConsPlusNormal"/>
    <w:rsid w:val="00175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4"/>
      <w:lang w:val="ru-RU" w:eastAsia="ru-RU" w:bidi="ar-SA"/>
    </w:rPr>
  </w:style>
  <w:style w:type="paragraph" w:customStyle="1" w:styleId="ConsPlusTitle">
    <w:name w:val="ConsPlusTitle"/>
    <w:rsid w:val="00175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4"/>
      <w:lang w:val="ru-RU" w:eastAsia="ru-RU" w:bidi="ar-SA"/>
    </w:rPr>
  </w:style>
  <w:style w:type="paragraph" w:customStyle="1" w:styleId="ConsPlusTitlePage">
    <w:name w:val="ConsPlusTitlePage"/>
    <w:rsid w:val="001756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0&amp;dst=3269" TargetMode="External"/><Relationship Id="rId13" Type="http://schemas.openxmlformats.org/officeDocument/2006/relationships/hyperlink" Target="https://login.consultant.ru/link/?req=doc&amp;base=RLAW127&amp;n=58363&amp;dst=100008" TargetMode="External"/><Relationship Id="rId18" Type="http://schemas.openxmlformats.org/officeDocument/2006/relationships/hyperlink" Target="https://login.consultant.ru/link/?req=doc&amp;base=RLAW127&amp;n=100246&amp;dst=100007" TargetMode="External"/><Relationship Id="rId26" Type="http://schemas.openxmlformats.org/officeDocument/2006/relationships/hyperlink" Target="https://login.consultant.ru/link/?req=doc&amp;base=RLAW127&amp;n=100246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7&amp;n=94707" TargetMode="External"/><Relationship Id="rId7" Type="http://schemas.openxmlformats.org/officeDocument/2006/relationships/hyperlink" Target="https://login.consultant.ru/link/?req=doc&amp;base=LAW&amp;n=169428" TargetMode="External"/><Relationship Id="rId12" Type="http://schemas.openxmlformats.org/officeDocument/2006/relationships/hyperlink" Target="https://login.consultant.ru/link/?req=doc&amp;base=RLAW127&amp;n=58363&amp;dst=100006" TargetMode="External"/><Relationship Id="rId17" Type="http://schemas.openxmlformats.org/officeDocument/2006/relationships/hyperlink" Target="https://login.consultant.ru/link/?req=doc&amp;base=RLAW127&amp;n=100246&amp;dst=100006" TargetMode="External"/><Relationship Id="rId25" Type="http://schemas.openxmlformats.org/officeDocument/2006/relationships/hyperlink" Target="https://login.consultant.ru/link/?req=doc&amp;base=LAW&amp;n=494979&amp;dst=104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79&amp;dst=11468" TargetMode="External"/><Relationship Id="rId20" Type="http://schemas.openxmlformats.org/officeDocument/2006/relationships/hyperlink" Target="https://login.consultant.ru/link/?req=doc&amp;base=LAW&amp;n=494979&amp;dst=1038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100246&amp;dst=100005" TargetMode="External"/><Relationship Id="rId11" Type="http://schemas.openxmlformats.org/officeDocument/2006/relationships/hyperlink" Target="https://login.consultant.ru/link/?req=doc&amp;base=RLAW127&amp;n=99952&amp;dst=101629" TargetMode="External"/><Relationship Id="rId24" Type="http://schemas.openxmlformats.org/officeDocument/2006/relationships/hyperlink" Target="https://login.consultant.ru/link/?req=doc&amp;base=LAW&amp;n=494979&amp;dst=9219" TargetMode="External"/><Relationship Id="rId5" Type="http://schemas.openxmlformats.org/officeDocument/2006/relationships/hyperlink" Target="https://login.consultant.ru/link/?req=doc&amp;base=RLAW127&amp;n=58363&amp;dst=100005" TargetMode="External"/><Relationship Id="rId15" Type="http://schemas.openxmlformats.org/officeDocument/2006/relationships/hyperlink" Target="https://login.consultant.ru/link/?req=doc&amp;base=LAW&amp;n=494979&amp;dst=9219" TargetMode="External"/><Relationship Id="rId23" Type="http://schemas.openxmlformats.org/officeDocument/2006/relationships/hyperlink" Target="https://login.consultant.ru/link/?req=doc&amp;base=LAW&amp;n=494979&amp;dst=104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7&amp;n=46220" TargetMode="External"/><Relationship Id="rId19" Type="http://schemas.openxmlformats.org/officeDocument/2006/relationships/hyperlink" Target="https://login.consultant.ru/link/?req=doc&amp;base=LAW&amp;n=494979&amp;dst=1038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0999&amp;dst=100169" TargetMode="External"/><Relationship Id="rId14" Type="http://schemas.openxmlformats.org/officeDocument/2006/relationships/hyperlink" Target="https://login.consultant.ru/link/?req=doc&amp;base=RLAW127&amp;n=58363&amp;dst=100009" TargetMode="External"/><Relationship Id="rId22" Type="http://schemas.openxmlformats.org/officeDocument/2006/relationships/hyperlink" Target="https://login.consultant.ru/link/?req=doc&amp;base=LAW&amp;n=494979&amp;dst=10423" TargetMode="External"/><Relationship Id="rId27" Type="http://schemas.openxmlformats.org/officeDocument/2006/relationships/hyperlink" Target="https://login.consultant.ru/link/?req=doc&amp;base=RLAW127&amp;n=34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1418</Words>
  <Characters>8086</Characters>
  <Application>Microsoft Office Word</Application>
  <DocSecurity>0</DocSecurity>
  <Lines>67</Lines>
  <Paragraphs>18</Paragraphs>
  <ScaleCrop>false</ScaleCrop>
  <Company/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Суслова</cp:lastModifiedBy>
  <cp:revision>2</cp:revision>
  <dcterms:created xsi:type="dcterms:W3CDTF">2025-02-20T08:26:00Z</dcterms:created>
  <dcterms:modified xsi:type="dcterms:W3CDTF">2025-02-20T08:26:00Z</dcterms:modified>
</cp:coreProperties>
</file>