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rPr>
          <w:b/>
          <w:bCs/>
          <w:spacing w:val="2"/>
          <w:sz w:val="28"/>
          <w:szCs w:val="28"/>
          <w:shd w:val="clear" w:color="auto" w:fill="FFFFFF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93DC6">
        <w:rPr>
          <w:b/>
          <w:bCs/>
          <w:spacing w:val="2"/>
          <w:sz w:val="28"/>
          <w:szCs w:val="28"/>
          <w:shd w:val="clear" w:color="auto" w:fill="FFFFFF"/>
        </w:rPr>
        <w:t xml:space="preserve">Приказом Минздрава России от 25.03.2019 N 159н </w:t>
      </w:r>
      <w:r w:rsidRPr="00193DC6">
        <w:rPr>
          <w:b/>
          <w:spacing w:val="2"/>
          <w:sz w:val="28"/>
          <w:szCs w:val="28"/>
          <w:shd w:val="clear" w:color="auto" w:fill="FFFFFF"/>
        </w:rPr>
        <w:t>у</w:t>
      </w:r>
      <w:r w:rsidRPr="00193DC6">
        <w:rPr>
          <w:b/>
          <w:bCs/>
          <w:spacing w:val="2"/>
          <w:sz w:val="28"/>
          <w:szCs w:val="28"/>
          <w:shd w:val="clear" w:color="auto" w:fill="FFFFFF"/>
        </w:rPr>
        <w:t>точнены основания проведения медицинского освидетельствования на состояние опьянения.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93DC6">
        <w:rPr>
          <w:spacing w:val="2"/>
          <w:sz w:val="28"/>
          <w:szCs w:val="28"/>
          <w:shd w:val="clear" w:color="auto" w:fill="FFFFFF"/>
        </w:rPr>
        <w:t xml:space="preserve">Устанавливается, что освидетельствование 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193DC6">
        <w:rPr>
          <w:spacing w:val="2"/>
          <w:sz w:val="28"/>
          <w:szCs w:val="28"/>
          <w:shd w:val="clear" w:color="auto" w:fill="FFFFFF"/>
        </w:rPr>
        <w:t>психоактивное</w:t>
      </w:r>
      <w:proofErr w:type="spellEnd"/>
      <w:r w:rsidRPr="00193DC6">
        <w:rPr>
          <w:spacing w:val="2"/>
          <w:sz w:val="28"/>
          <w:szCs w:val="28"/>
          <w:shd w:val="clear" w:color="auto" w:fill="FFFFFF"/>
        </w:rPr>
        <w:t xml:space="preserve"> вещество, может проводиться на основании постановления судьи, следователя, органа дознания или по направлению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93DC6">
        <w:rPr>
          <w:spacing w:val="2"/>
          <w:sz w:val="28"/>
          <w:szCs w:val="28"/>
          <w:shd w:val="clear" w:color="auto" w:fill="FFFFFF"/>
        </w:rPr>
        <w:t>В число оснований для вынесения заключения "установлено состояние опьянения" добавлено наличие абсолютного этилового спирта в концентрации 0,3 и более грамма на литр крови. В случае концентрации менее 0,3 грамма на литр крови выносится заключение "состояние опьянения не установлено".</w:t>
      </w:r>
    </w:p>
    <w:p w:rsidR="00193DC6" w:rsidRPr="00193DC6" w:rsidRDefault="001D51AF" w:rsidP="0040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 w:type="page"/>
      </w:r>
      <w:bookmarkStart w:id="0" w:name="_GoBack"/>
      <w:bookmarkEnd w:id="0"/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07FC0"/>
    <w:rsid w:val="00422253"/>
    <w:rsid w:val="004267A9"/>
    <w:rsid w:val="00550349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D819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FA28-2003-454C-9C41-011D0A13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2020-06-25T09:16:00Z</dcterms:modified>
</cp:coreProperties>
</file>