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FC" w:rsidRDefault="00D21BFC" w:rsidP="00D21BFC">
      <w:pPr>
        <w:pStyle w:val="2"/>
        <w:pBdr>
          <w:bottom w:val="dotted" w:sz="6" w:space="3" w:color="D8D8D8"/>
        </w:pBdr>
        <w:shd w:val="clear" w:color="auto" w:fill="FFFFFF"/>
        <w:spacing w:before="0" w:beforeAutospacing="0" w:after="0" w:afterAutospacing="0" w:line="413" w:lineRule="atLeast"/>
        <w:jc w:val="center"/>
        <w:textAlignment w:val="center"/>
        <w:rPr>
          <w:rFonts w:ascii="Arial" w:hAnsi="Arial" w:cs="Arial"/>
          <w:b w:val="0"/>
          <w:bCs w:val="0"/>
          <w:color w:val="4D7794"/>
          <w:sz w:val="38"/>
          <w:szCs w:val="38"/>
        </w:rPr>
      </w:pPr>
      <w:r>
        <w:rPr>
          <w:rFonts w:ascii="Arial" w:hAnsi="Arial" w:cs="Arial"/>
          <w:b w:val="0"/>
          <w:bCs w:val="0"/>
          <w:color w:val="4D7794"/>
          <w:sz w:val="38"/>
          <w:szCs w:val="38"/>
        </w:rPr>
        <w:t>Дан старт региональному проекту поддержки бизнес-стартов «Про100Бизнес»</w:t>
      </w:r>
    </w:p>
    <w:p w:rsidR="00653056" w:rsidRPr="00653056" w:rsidRDefault="00653056" w:rsidP="00653056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Times New Roman" w:eastAsia="Times New Roman" w:hAnsi="Times New Roman" w:cs="Times New Roman"/>
          <w:color w:val="4D7794"/>
          <w:sz w:val="24"/>
          <w:szCs w:val="24"/>
          <w:lang w:eastAsia="ru-RU"/>
        </w:rPr>
      </w:pP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rStyle w:val="a5"/>
          <w:color w:val="222323"/>
        </w:rPr>
        <w:t xml:space="preserve">Губернатором Орловской области Андреем </w:t>
      </w:r>
      <w:proofErr w:type="spellStart"/>
      <w:r w:rsidRPr="00D21BFC">
        <w:rPr>
          <w:rStyle w:val="a5"/>
          <w:color w:val="222323"/>
        </w:rPr>
        <w:t>Клычковым</w:t>
      </w:r>
      <w:proofErr w:type="spellEnd"/>
      <w:r w:rsidRPr="00D21BFC">
        <w:rPr>
          <w:rStyle w:val="a5"/>
          <w:color w:val="222323"/>
        </w:rPr>
        <w:t xml:space="preserve"> поставлена задача разработать сервисную систему поддержки бизнес-стартов и навигации по бизнес-планированию, ориентированную на экономическое развитие муниципальных образований и занятость населения. В связи с чем дан старт региональному проекту поддержки бизнес-стартов «Про100бизнес».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Цель проекта — формирование предпринимательских компетенций и создание условий для реализации предпринимательской инициативы на направлениях, представляющих высокую социально-экономическую значимость для муниципальных образований.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Проект решает следующие задачи:</w:t>
      </w:r>
    </w:p>
    <w:p w:rsidR="00D21BFC" w:rsidRPr="00D21BFC" w:rsidRDefault="00D21BFC" w:rsidP="00D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определение ключевых направлений социальной и экономической деятельности, требующих применения стимулирующих мер предпринимательской инициативы;</w:t>
      </w:r>
    </w:p>
    <w:p w:rsidR="00D21BFC" w:rsidRPr="00D21BFC" w:rsidRDefault="00D21BFC" w:rsidP="00D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формирование предпринимательских компетенций и запроса на предпринимательскую активность;</w:t>
      </w:r>
    </w:p>
    <w:p w:rsidR="00D21BFC" w:rsidRPr="00D21BFC" w:rsidRDefault="00D21BFC" w:rsidP="00D21B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создание «пакета» мер и мероприятий по юридической, финансовой, образовательной поддержке бизнес-стартов.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В рамках этого проекта к концу 2019 года ожидается создание не менее 100 новых субъектов предпринимательства в регионе, на деятельность которых сформирован высокий социально-экономический запрос муниципальных образований.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По состоянию на 10 мая 2019 года в муниципальном образовании «Город Орел» зарегистрировано 16 840 хозяйствующих субъектов, их них 14 721 (87,4%) — это субъекты малого и среднего предпринимательства. Плотность субъектов МСП составляет 47,2 единиц на 1 000 жителей.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Количество юридических лиц составляет 8 917 единиц, из них – 6 755 (75,7%) - это СМП: средние – 39, малые – 608, микро – 6151, индивидуальных предпринимателей 7 923: средние – 1, малые – 123, микро – 7799).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Предпринимательская инициатива в городе Орле активна: в течение 2018 года в Едином реестре по городу Орлу зарегистрировано 2 022 субъектов малого и среднего предпринимательства. Активность наблюдается и в 2019 году: с начала года зарегистрировано 953 субъекта (по состоянию на 1 июня).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Наиболее привлекательной для малого бизнеса по-прежнему является сфера торговли. В этой сфере заняты 39%, что объясняется меньшим, чем в производственной сфере, объёмом требуемых капитальных затрат, наличием трудовых ресурсов и небольшим сроком окупаемости инвестиций, повседневным спросом.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В транспортировке и хранении, в строительстве заняты около 10% предпринимателей, в обрабатывающих производствах – около 9%. В сфере деятельности по операциям с недвижимым имуществом – около 7%, в области информатизации и связи заняты чуть больше 3%. Общественное питание и гостиничный бизнес составляет 2% от общего количества предпринимателей.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lastRenderedPageBreak/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Рынок в отношении потребностей населения в городе Орле конкурентный, реагирует на потребности населения. На развитие СМП оказывают влияние факторы: платежеспособность населения, возрастная структура, уровень доходов.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Запрос муниципального образования определяется документами стратегического развития.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В обнародованной правительством Российской Федерации Стратегии пространственного развития страны до 2025 года экономическими специализациями развития Орловской области являются: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автотранспортных средств, прицепов и полуприцепов;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готовых металлических изделий, кроме машин и оборудования;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кожи и изделий из кожи;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компьютеров, электронных и оптических изделий;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лекарственных средств и материалов, применяемых в медицинских целях;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машин и оборудования, не включенных в другие группировки;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металлургическое;</w:t>
      </w:r>
      <w:bookmarkStart w:id="0" w:name="_GoBack"/>
      <w:bookmarkEnd w:id="0"/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одежды;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пищевых продуктов;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прочей неметаллической минеральной продукции;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прочих готовых изделий;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резиновых и пластмассовых изделий;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текстильных изделий;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химических веществ и химических продуктов;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производство электрического оборудования;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растениеводство и животноводство, предоставление соответствующих услуг в этих областях;</w:t>
      </w:r>
    </w:p>
    <w:p w:rsidR="00D21BFC" w:rsidRPr="00D21BFC" w:rsidRDefault="00D21BFC" w:rsidP="00D21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323"/>
          <w:sz w:val="24"/>
          <w:szCs w:val="24"/>
        </w:rPr>
      </w:pPr>
      <w:r w:rsidRPr="00D21BFC">
        <w:rPr>
          <w:rFonts w:ascii="Times New Roman" w:hAnsi="Times New Roman" w:cs="Times New Roman"/>
          <w:color w:val="222323"/>
          <w:sz w:val="24"/>
          <w:szCs w:val="24"/>
        </w:rPr>
        <w:t>туризм — деятельность гостиниц и предприятий общественного питания, деятельность административная и сопутствующие дополнительные услуги (деятельность туристических агентств и прочих организаций, предоставляющих услуги в сфере туризма, изготовления сувенирной продукции и прочее).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Практически все из них представляют стратегические интересы развития города Орла. Точки роста: приборостроение, IT-технологии, туризм.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В сложившейся экономической ситуации туризм – это реальный инструмент по достижению роста и развития субъектов малого и среднего предпринимательства и в целом улучшения экономики города и области.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 xml:space="preserve">Администрация города тесно сотрудничает с Фондом поддержки предпринимательства Орловской области, в который входят Центр поддержки предпринимательства и Центр кластерного развития, Союзом «Орловская торгово-промышленная палата», Орловским региональным Центром поддержки экспорта и Орловским государственным университетом им. </w:t>
      </w:r>
      <w:proofErr w:type="spellStart"/>
      <w:r w:rsidRPr="00D21BFC">
        <w:rPr>
          <w:color w:val="222323"/>
        </w:rPr>
        <w:t>И.С.Тургенева</w:t>
      </w:r>
      <w:proofErr w:type="spellEnd"/>
      <w:r w:rsidRPr="00D21BFC">
        <w:rPr>
          <w:color w:val="222323"/>
        </w:rPr>
        <w:t>.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both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rStyle w:val="a6"/>
          <w:color w:val="222323"/>
        </w:rPr>
        <w:t>Ответственные за региональный проект «Про100Бизнес» в городе Орле: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proofErr w:type="spellStart"/>
      <w:r w:rsidRPr="00D21BFC">
        <w:rPr>
          <w:rStyle w:val="a6"/>
          <w:color w:val="222323"/>
        </w:rPr>
        <w:t>Краличев</w:t>
      </w:r>
      <w:proofErr w:type="spellEnd"/>
      <w:r w:rsidRPr="00D21BFC">
        <w:rPr>
          <w:rStyle w:val="a6"/>
          <w:color w:val="222323"/>
        </w:rPr>
        <w:t xml:space="preserve"> Игорь Николаевич, заместитель главы администрации города Орла -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rStyle w:val="a6"/>
          <w:color w:val="222323"/>
        </w:rPr>
        <w:t>начальник финансово-экономического управления администрации города Орла: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rStyle w:val="a6"/>
          <w:color w:val="222323"/>
        </w:rPr>
        <w:t>+7(4862) 76-38-93, </w:t>
      </w:r>
      <w:hyperlink r:id="rId5" w:history="1">
        <w:r w:rsidRPr="00D21BFC">
          <w:rPr>
            <w:rStyle w:val="a3"/>
            <w:i/>
            <w:iCs/>
            <w:color w:val="222323"/>
          </w:rPr>
          <w:t>kralichev-in@orel-adm.ru</w:t>
        </w:r>
      </w:hyperlink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color w:val="222323"/>
        </w:rPr>
        <w:lastRenderedPageBreak/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proofErr w:type="spellStart"/>
      <w:r w:rsidRPr="00D21BFC">
        <w:rPr>
          <w:rStyle w:val="a6"/>
          <w:color w:val="222323"/>
        </w:rPr>
        <w:t>Ашихмина</w:t>
      </w:r>
      <w:proofErr w:type="spellEnd"/>
      <w:r w:rsidRPr="00D21BFC">
        <w:rPr>
          <w:rStyle w:val="a6"/>
          <w:color w:val="222323"/>
        </w:rPr>
        <w:t xml:space="preserve"> Алла Михайловна, заместитель начальника финансово-экономического управления администрации города Орла: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rStyle w:val="a6"/>
          <w:color w:val="222323"/>
        </w:rPr>
        <w:t>+7(4862) 43-29-34, </w:t>
      </w:r>
      <w:hyperlink r:id="rId6" w:history="1">
        <w:r w:rsidRPr="00D21BFC">
          <w:rPr>
            <w:rStyle w:val="a3"/>
            <w:i/>
            <w:iCs/>
            <w:color w:val="222323"/>
          </w:rPr>
          <w:t>ashixmina-am@orel-adm.ru</w:t>
        </w:r>
      </w:hyperlink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color w:val="222323"/>
        </w:rPr>
        <w:t> 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proofErr w:type="spellStart"/>
      <w:r w:rsidRPr="00D21BFC">
        <w:rPr>
          <w:rStyle w:val="a6"/>
          <w:color w:val="222323"/>
        </w:rPr>
        <w:t>Топчевская</w:t>
      </w:r>
      <w:proofErr w:type="spellEnd"/>
      <w:r w:rsidRPr="00D21BFC">
        <w:rPr>
          <w:rStyle w:val="a6"/>
          <w:color w:val="222323"/>
        </w:rPr>
        <w:t xml:space="preserve"> Ирина Георгиевна, начальник отдела экономики и муниципальной поддержки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rStyle w:val="a6"/>
          <w:color w:val="222323"/>
        </w:rPr>
        <w:t>малого и среднего бизнеса финансово-экономического управления администрации города Орла:</w:t>
      </w:r>
    </w:p>
    <w:p w:rsidR="00D21BFC" w:rsidRPr="00D21BFC" w:rsidRDefault="00D21BFC" w:rsidP="00D21BFC">
      <w:pPr>
        <w:pStyle w:val="a4"/>
        <w:shd w:val="clear" w:color="auto" w:fill="FFFFFF"/>
        <w:spacing w:before="0" w:beforeAutospacing="0" w:after="0" w:afterAutospacing="0"/>
        <w:jc w:val="right"/>
        <w:rPr>
          <w:color w:val="222323"/>
        </w:rPr>
      </w:pPr>
      <w:r w:rsidRPr="00D21BFC">
        <w:rPr>
          <w:rStyle w:val="a6"/>
          <w:color w:val="222323"/>
        </w:rPr>
        <w:t>+7(4862) 76-49-86, top@orel-adm.ru.</w:t>
      </w:r>
    </w:p>
    <w:p w:rsidR="002212FD" w:rsidRPr="00D21BFC" w:rsidRDefault="002212FD" w:rsidP="00D21B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12FD" w:rsidRPr="00D21BFC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B88"/>
    <w:multiLevelType w:val="multilevel"/>
    <w:tmpl w:val="D4FC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57DC4"/>
    <w:multiLevelType w:val="multilevel"/>
    <w:tmpl w:val="434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E307F"/>
    <w:multiLevelType w:val="multilevel"/>
    <w:tmpl w:val="869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4E"/>
    <w:rsid w:val="002212FD"/>
    <w:rsid w:val="00653056"/>
    <w:rsid w:val="007A7E4E"/>
    <w:rsid w:val="00B8512D"/>
    <w:rsid w:val="00D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4883-C731-4A4C-9741-089D34E5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53056"/>
  </w:style>
  <w:style w:type="character" w:styleId="a3">
    <w:name w:val="Hyperlink"/>
    <w:basedOn w:val="a0"/>
    <w:uiPriority w:val="99"/>
    <w:semiHidden/>
    <w:unhideWhenUsed/>
    <w:rsid w:val="006530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056"/>
    <w:rPr>
      <w:b/>
      <w:bCs/>
    </w:rPr>
  </w:style>
  <w:style w:type="character" w:styleId="a6">
    <w:name w:val="Emphasis"/>
    <w:basedOn w:val="a0"/>
    <w:uiPriority w:val="20"/>
    <w:qFormat/>
    <w:rsid w:val="00D21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77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75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xmina-am@orel-adm.ru" TargetMode="External"/><Relationship Id="rId5" Type="http://schemas.openxmlformats.org/officeDocument/2006/relationships/hyperlink" Target="mailto:kralichev-in@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2019-11-13T08:39:00Z</dcterms:created>
  <dcterms:modified xsi:type="dcterms:W3CDTF">2019-11-13T08:41:00Z</dcterms:modified>
</cp:coreProperties>
</file>