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E1" w:rsidRDefault="00B143E1" w:rsidP="00B143E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B143E1" w:rsidRDefault="00B143E1" w:rsidP="00B143E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B143E1" w:rsidRDefault="00B143E1" w:rsidP="00B143E1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B143E1" w:rsidRDefault="00B143E1" w:rsidP="00B143E1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«17» июня 2019 г.</w:t>
      </w:r>
    </w:p>
    <w:p w:rsidR="00B143E1" w:rsidRDefault="00B143E1" w:rsidP="00B143E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143E1" w:rsidRDefault="00B143E1" w:rsidP="00B143E1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на земельном участке с кадастровым номером 57:25:0010725:13, площадью 800,5 кв. м, местоположением: г. Орел, пер. Карьерный, 6, в части:</w:t>
      </w:r>
    </w:p>
    <w:p w:rsidR="00B143E1" w:rsidRDefault="00B143E1" w:rsidP="00B143E1">
      <w:pPr>
        <w:pStyle w:val="a3"/>
        <w:ind w:left="0"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 минимальных отступов от границ земельного участка с южной стороны на расстоянии 0 м, с западной стороны на расстоянии 0,4 м;</w:t>
      </w:r>
    </w:p>
    <w:p w:rsidR="00B143E1" w:rsidRDefault="00B143E1" w:rsidP="00B143E1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ширины участка по уличному фронту менее 25 м (20,5 м)</w:t>
      </w:r>
      <w:r>
        <w:rPr>
          <w:rFonts w:cs="Times New Roman"/>
          <w:b/>
          <w:bCs/>
          <w:sz w:val="28"/>
          <w:szCs w:val="28"/>
          <w:lang w:val="ru-RU"/>
        </w:rPr>
        <w:t>»</w:t>
      </w:r>
    </w:p>
    <w:p w:rsidR="00B143E1" w:rsidRDefault="00B143E1" w:rsidP="00B143E1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B143E1" w:rsidRDefault="00B143E1" w:rsidP="00B143E1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B143E1" w:rsidRDefault="00B143E1" w:rsidP="00B143E1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22.05.2019 г. № 91-П</w:t>
      </w:r>
    </w:p>
    <w:p w:rsidR="00B143E1" w:rsidRDefault="00B143E1" w:rsidP="00B143E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143E1" w:rsidRDefault="00B143E1" w:rsidP="00B143E1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 3 человека</w:t>
      </w:r>
    </w:p>
    <w:p w:rsidR="00B143E1" w:rsidRDefault="00B143E1" w:rsidP="00B143E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143E1" w:rsidRDefault="00B143E1" w:rsidP="00B143E1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«13» июня 2019 года № 96</w:t>
      </w:r>
    </w:p>
    <w:p w:rsidR="00B143E1" w:rsidRDefault="00B143E1" w:rsidP="00B143E1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B143E1" w:rsidRDefault="00B143E1" w:rsidP="00B143E1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143E1" w:rsidTr="00B143E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43E1" w:rsidRDefault="00B143E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43E1" w:rsidRDefault="00B143E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43E1" w:rsidRDefault="00B143E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B143E1" w:rsidRDefault="00B143E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B143E1" w:rsidTr="00B143E1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43E1" w:rsidRDefault="00B143E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43E1" w:rsidRDefault="00B143E1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143E1" w:rsidRDefault="00B143E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B143E1" w:rsidRDefault="00B143E1" w:rsidP="00B143E1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43E1" w:rsidRDefault="00B143E1" w:rsidP="00B143E1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43E1" w:rsidRDefault="00B143E1" w:rsidP="00B143E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B143E1" w:rsidTr="00B143E1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43E1" w:rsidRDefault="00B143E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43E1" w:rsidRDefault="00B143E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43E1" w:rsidRDefault="00B143E1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B143E1" w:rsidRDefault="00B143E1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</w:tbl>
    <w:p w:rsidR="00B143E1" w:rsidRDefault="00B143E1" w:rsidP="00B143E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143E1" w:rsidRDefault="00B143E1" w:rsidP="00B143E1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B143E1" w:rsidRDefault="00B143E1" w:rsidP="00B143E1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на земельном участке с кадастровым номером </w:t>
      </w:r>
      <w:r>
        <w:rPr>
          <w:rFonts w:cs="Times New Roman"/>
          <w:bCs/>
          <w:sz w:val="28"/>
          <w:szCs w:val="28"/>
          <w:lang w:val="ru-RU"/>
        </w:rPr>
        <w:lastRenderedPageBreak/>
        <w:t>57:25:0010725:13, площадью 800,5 кв. м, местоположением: г. Орел, пер. Карьерный, 6, в части:</w:t>
      </w:r>
      <w:proofErr w:type="gramEnd"/>
    </w:p>
    <w:p w:rsidR="00B143E1" w:rsidRDefault="00B143E1" w:rsidP="00B143E1">
      <w:pPr>
        <w:pStyle w:val="a3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минимальных отступов от границ земельного участка с южной стороны на расстоянии 0 м, с западной стороны на расстоянии 0,4 м;</w:t>
      </w:r>
    </w:p>
    <w:p w:rsidR="00B143E1" w:rsidRDefault="00B143E1" w:rsidP="00B143E1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ширины участка по уличному фронту менее 25 м (20,5 м)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B143E1" w:rsidRDefault="00B143E1" w:rsidP="00B143E1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B143E1" w:rsidRDefault="00B143E1" w:rsidP="00B143E1">
      <w:pPr>
        <w:pStyle w:val="Standard"/>
        <w:jc w:val="both"/>
        <w:rPr>
          <w:sz w:val="28"/>
          <w:szCs w:val="28"/>
          <w:lang w:val="ru-RU"/>
        </w:rPr>
      </w:pPr>
    </w:p>
    <w:p w:rsidR="00B143E1" w:rsidRDefault="00B143E1" w:rsidP="00B143E1">
      <w:pPr>
        <w:pStyle w:val="Standard"/>
        <w:jc w:val="both"/>
        <w:rPr>
          <w:sz w:val="28"/>
          <w:szCs w:val="28"/>
          <w:lang w:val="ru-RU"/>
        </w:rPr>
      </w:pPr>
    </w:p>
    <w:p w:rsidR="00B143E1" w:rsidRDefault="00B143E1" w:rsidP="00B143E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B143E1" w:rsidRDefault="00B143E1" w:rsidP="00B143E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B143E1" w:rsidRDefault="00B143E1" w:rsidP="00B143E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О.В. Минкин</w:t>
      </w:r>
    </w:p>
    <w:p w:rsidR="00B143E1" w:rsidRDefault="00B143E1" w:rsidP="00B143E1">
      <w:pPr>
        <w:pStyle w:val="Standard"/>
        <w:rPr>
          <w:sz w:val="28"/>
          <w:szCs w:val="28"/>
          <w:lang w:val="ru-RU"/>
        </w:rPr>
      </w:pPr>
    </w:p>
    <w:p w:rsidR="00B143E1" w:rsidRDefault="00B143E1" w:rsidP="00B143E1">
      <w:pPr>
        <w:pStyle w:val="Standard"/>
        <w:rPr>
          <w:sz w:val="28"/>
          <w:szCs w:val="28"/>
          <w:lang w:val="ru-RU"/>
        </w:rPr>
      </w:pPr>
    </w:p>
    <w:p w:rsidR="00B143E1" w:rsidRDefault="00B143E1" w:rsidP="00B143E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B143E1" w:rsidRDefault="00B143E1" w:rsidP="00B143E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B143E1" w:rsidRDefault="00B143E1" w:rsidP="00B143E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B143E1" w:rsidRDefault="00B143E1" w:rsidP="00B143E1">
      <w:pPr>
        <w:pStyle w:val="Standard"/>
        <w:rPr>
          <w:sz w:val="28"/>
          <w:szCs w:val="28"/>
          <w:lang w:val="ru-RU"/>
        </w:rPr>
      </w:pPr>
    </w:p>
    <w:p w:rsidR="00B143E1" w:rsidRDefault="00B143E1" w:rsidP="00B143E1">
      <w:pPr>
        <w:pStyle w:val="Standard"/>
        <w:rPr>
          <w:sz w:val="28"/>
          <w:szCs w:val="28"/>
          <w:lang w:val="ru-RU"/>
        </w:rPr>
      </w:pPr>
    </w:p>
    <w:p w:rsidR="00A111F6" w:rsidRDefault="00A111F6"/>
    <w:sectPr w:rsidR="00A1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18"/>
    <w:rsid w:val="00A111F6"/>
    <w:rsid w:val="00AB7F18"/>
    <w:rsid w:val="00B1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E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3E1"/>
    <w:pPr>
      <w:ind w:left="720"/>
      <w:contextualSpacing/>
    </w:pPr>
  </w:style>
  <w:style w:type="paragraph" w:customStyle="1" w:styleId="Standard">
    <w:name w:val="Standard"/>
    <w:uiPriority w:val="99"/>
    <w:rsid w:val="00B143E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B143E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E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3E1"/>
    <w:pPr>
      <w:ind w:left="720"/>
      <w:contextualSpacing/>
    </w:pPr>
  </w:style>
  <w:style w:type="paragraph" w:customStyle="1" w:styleId="Standard">
    <w:name w:val="Standard"/>
    <w:uiPriority w:val="99"/>
    <w:rsid w:val="00B143E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B143E1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2019-06-19T06:10:00Z</dcterms:created>
  <dcterms:modified xsi:type="dcterms:W3CDTF">2019-06-19T06:11:00Z</dcterms:modified>
</cp:coreProperties>
</file>