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1E32A9" w:rsidRDefault="001E32A9" w:rsidP="001E32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Утвержден регламент по выдаче гражданину РФ разрешения на хранение и ношение спортивного или охотничьего огнестрельного длинноствольного оружия, используемого для занятий спортом, спортивного пневматического оружия с дульной энергией свыше 7,5 Дж и патронов к нему</w:t>
      </w:r>
    </w:p>
    <w:p w:rsidR="001E32A9" w:rsidRDefault="001E32A9" w:rsidP="001E32A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1E32A9" w:rsidRDefault="001E32A9" w:rsidP="001E32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Государственная услуга предоставляется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Росгвардией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ее территориальными органами.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Регламенте приводятся в числе прочего исчерпывающий перечень документов, необходимых для предоставления государственной услуги, порядок их представления, в том числе в электронной форме, устанавливаются сроки, в которые услуга должна быть предоставлена, приводится исчерпывающий перечень оснований для отказа в приеме документов, необходимых для ее предоставления.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 предоставление государственной услуги уплачивается государственная пошлина в порядке и размерах, установленных подпунктом 6 пункта 1 статьи 333.18, подпунктом 136 пункта 1 статьи 333.33 Налогового кодекса РФ.</w:t>
      </w:r>
    </w:p>
    <w:p w:rsidR="001E32A9" w:rsidRDefault="001E32A9" w:rsidP="001E32A9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778" w:rsidRDefault="00FA5778" w:rsidP="001E32A9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778" w:rsidRDefault="00FA5778" w:rsidP="001E32A9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5F" w:rsidRDefault="00FA5778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791CDF"/>
    <w:rsid w:val="0095467F"/>
    <w:rsid w:val="00B01E9D"/>
    <w:rsid w:val="00F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1A35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2020-06-25T08:13:00Z</dcterms:modified>
</cp:coreProperties>
</file>