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Look w:val="04A0"/>
      </w:tblPr>
      <w:tblGrid>
        <w:gridCol w:w="10314"/>
        <w:gridCol w:w="4906"/>
      </w:tblGrid>
      <w:tr w:rsidR="00550B80" w:rsidRPr="00F30408" w:rsidTr="0039532C">
        <w:tc>
          <w:tcPr>
            <w:tcW w:w="10314" w:type="dxa"/>
            <w:shd w:val="clear" w:color="auto" w:fill="auto"/>
          </w:tcPr>
          <w:p w:rsidR="00550B80" w:rsidRPr="0039532C" w:rsidRDefault="00550B80" w:rsidP="003953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:rsidR="00550B80" w:rsidRPr="000B7614" w:rsidRDefault="00550B80" w:rsidP="00395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08">
              <w:rPr>
                <w:rFonts w:ascii="Times New Roman" w:hAnsi="Times New Roman"/>
                <w:sz w:val="28"/>
                <w:szCs w:val="28"/>
              </w:rPr>
              <w:t>Приложение к распоряжени</w:t>
            </w:r>
            <w:r w:rsidR="00663907">
              <w:rPr>
                <w:rFonts w:ascii="Times New Roman" w:hAnsi="Times New Roman"/>
                <w:sz w:val="28"/>
                <w:szCs w:val="28"/>
              </w:rPr>
              <w:t>ю</w:t>
            </w:r>
            <w:r w:rsidRPr="00F30408">
              <w:rPr>
                <w:rFonts w:ascii="Times New Roman" w:hAnsi="Times New Roman"/>
                <w:sz w:val="28"/>
                <w:szCs w:val="28"/>
              </w:rPr>
              <w:t xml:space="preserve"> Правительства Орловс</w:t>
            </w:r>
            <w:r w:rsidR="00663907">
              <w:rPr>
                <w:rFonts w:ascii="Times New Roman" w:hAnsi="Times New Roman"/>
                <w:sz w:val="28"/>
                <w:szCs w:val="28"/>
              </w:rPr>
              <w:t xml:space="preserve">кой области </w:t>
            </w:r>
            <w:r w:rsidR="00663907">
              <w:rPr>
                <w:rFonts w:ascii="Times New Roman" w:hAnsi="Times New Roman"/>
                <w:sz w:val="28"/>
                <w:szCs w:val="28"/>
              </w:rPr>
              <w:br/>
            </w:r>
            <w:r w:rsidR="00663907" w:rsidRPr="000B7614">
              <w:rPr>
                <w:rFonts w:ascii="Times New Roman" w:hAnsi="Times New Roman"/>
                <w:sz w:val="28"/>
                <w:szCs w:val="28"/>
              </w:rPr>
              <w:t>от</w:t>
            </w:r>
            <w:r w:rsidR="000B7614" w:rsidRPr="000B7614">
              <w:rPr>
                <w:rFonts w:ascii="Times New Roman" w:hAnsi="Times New Roman"/>
                <w:sz w:val="28"/>
                <w:szCs w:val="28"/>
              </w:rPr>
              <w:t xml:space="preserve"> 25 декабря 2019 г. № 636-р</w:t>
            </w:r>
          </w:p>
          <w:p w:rsidR="00550B80" w:rsidRPr="00F30408" w:rsidRDefault="00550B80" w:rsidP="003953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0F0" w:rsidRDefault="004410F0" w:rsidP="0066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907" w:rsidRDefault="00663907" w:rsidP="0066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84254" w:rsidRDefault="00584254" w:rsidP="0066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08">
        <w:rPr>
          <w:rFonts w:ascii="Times New Roman" w:hAnsi="Times New Roman"/>
          <w:sz w:val="28"/>
          <w:szCs w:val="28"/>
        </w:rPr>
        <w:t xml:space="preserve"> мероприятий </w:t>
      </w:r>
      <w:r w:rsidR="00663907">
        <w:rPr>
          <w:rFonts w:ascii="Times New Roman" w:hAnsi="Times New Roman"/>
          <w:sz w:val="28"/>
          <w:szCs w:val="28"/>
        </w:rPr>
        <w:t xml:space="preserve">(«дорожная карта») </w:t>
      </w:r>
      <w:r w:rsidRPr="00F30408">
        <w:rPr>
          <w:rFonts w:ascii="Times New Roman" w:hAnsi="Times New Roman"/>
          <w:sz w:val="28"/>
          <w:szCs w:val="28"/>
        </w:rPr>
        <w:t>по содействию развитию конкуренции в Орловской области</w:t>
      </w:r>
      <w:r w:rsidR="00663907">
        <w:rPr>
          <w:rFonts w:ascii="Times New Roman" w:hAnsi="Times New Roman"/>
          <w:sz w:val="28"/>
          <w:szCs w:val="28"/>
        </w:rPr>
        <w:t xml:space="preserve"> на период до 2021 года</w:t>
      </w:r>
    </w:p>
    <w:p w:rsidR="00663907" w:rsidRPr="00F30408" w:rsidRDefault="00663907" w:rsidP="0066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2126"/>
        <w:gridCol w:w="2552"/>
        <w:gridCol w:w="1446"/>
        <w:gridCol w:w="1460"/>
        <w:gridCol w:w="1347"/>
        <w:gridCol w:w="2126"/>
      </w:tblGrid>
      <w:tr w:rsidR="00584254" w:rsidRPr="00F30408" w:rsidTr="00AF11F6">
        <w:trPr>
          <w:trHeight w:val="337"/>
        </w:trPr>
        <w:tc>
          <w:tcPr>
            <w:tcW w:w="817" w:type="dxa"/>
            <w:vMerge w:val="restart"/>
            <w:vAlign w:val="center"/>
          </w:tcPr>
          <w:p w:rsidR="00584254" w:rsidRPr="00F30408" w:rsidRDefault="00584254" w:rsidP="005B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AF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3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4254" w:rsidRPr="00F30408" w:rsidTr="006F0E15">
        <w:trPr>
          <w:trHeight w:val="299"/>
        </w:trPr>
        <w:tc>
          <w:tcPr>
            <w:tcW w:w="81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rPr>
          <w:trHeight w:val="299"/>
          <w:tblHeader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6F0E15">
        <w:trPr>
          <w:trHeight w:val="253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истема дошкольного образования Орловской области представлена 200 муниципальными дошкольными образовательными организациями, 1 частным (негосударственным) дошкольным образовательным учреждением, 2 индивидуальными предпринимателями, реализующим программу дошкольного образования, и дошкольными группами (отделениями по дошкольному образованию) 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br/>
              <w:t>в 129 общеобразовательных учреждениях (в том числе в 1 негосударственном).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региона функционируют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 xml:space="preserve">30 групп кратковременного 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пребывания для детей дошкольного возраста.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В соответствии с Федеральным законом от 29 декабря 2012 года № 273-ФЗ «Об образовании в Российской Федерации» в рамках реализации подпрограммы  «Развитие системы дошкольного, общего и дополнительного образования детей и молодежи» государственной программы Орловской области «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>Образование в Орловской области»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Департаментом образования Орловской области осуществляется поддержка  в форме предоставления субсидии некоммерческим организациям (за исключением государственных (муниципальных) учреждений) 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на компенсацию части расходов, связанных</w:t>
            </w:r>
            <w:proofErr w:type="gramEnd"/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с оказанием услуг в сфере образования и воспитания детей. 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В 2019 году субсидия предоставлена девяти некоммерческим организациям, осуществляющим деятельность в сфере образования.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Порядки  предоставления субсидий утверждены постановлением Правительства Орловской обл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 xml:space="preserve">асти от 19 июня 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2014 г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№ 160 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«О Порядке 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постановлением Правительства Орловской</w:t>
            </w:r>
            <w:proofErr w:type="gramEnd"/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облас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 xml:space="preserve">ти от 16 марта 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2015 г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№ 104 «О Порядке предоставления из областного бюджета субсидий частным образовательным организациям, учредителями которых являются религиозные организации».</w:t>
            </w:r>
          </w:p>
          <w:p w:rsidR="00EF578B" w:rsidRPr="00F30408" w:rsidRDefault="00584254" w:rsidP="00441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Общий объем субсидии в 2019 году запланирован в объеме 29 350,0  тыс. руб.</w:t>
            </w:r>
          </w:p>
        </w:tc>
      </w:tr>
      <w:tr w:rsidR="00EF578B" w:rsidRPr="00F30408" w:rsidTr="00EF578B">
        <w:trPr>
          <w:trHeight w:val="277"/>
        </w:trPr>
        <w:tc>
          <w:tcPr>
            <w:tcW w:w="817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4410F0">
        <w:trPr>
          <w:trHeight w:val="1969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E71AC9" w:rsidP="00E7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 xml:space="preserve"> сектора частных дошкольных организаций, осуществляющих образовательную деятельность для детей в возрасте от 2 месяцев до 7 лет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частных дошкольных организаций, осуществляющих образовательную деятельность для детей в возрасте от 2 месяцев до 7 лет, ед.</w:t>
            </w:r>
          </w:p>
        </w:tc>
        <w:tc>
          <w:tcPr>
            <w:tcW w:w="144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44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584254" w:rsidRPr="00F30408" w:rsidTr="004410F0">
        <w:trPr>
          <w:trHeight w:val="3257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5B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партн</w:t>
            </w:r>
            <w:r w:rsidR="005B182B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рства по организации дошкольного образования (предоставление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16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инвестиционной деятельности Орловской</w:t>
            </w:r>
            <w:r w:rsidR="005B182B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, органы местного самоуправления</w:t>
            </w:r>
            <w:r w:rsidR="0016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0F" w:rsidRPr="00F30408">
              <w:rPr>
                <w:rFonts w:ascii="Times New Roman" w:hAnsi="Times New Roman"/>
                <w:sz w:val="24"/>
                <w:szCs w:val="24"/>
              </w:rPr>
              <w:t>муниципальных образований Орловской области (по согласованию)</w:t>
            </w:r>
          </w:p>
        </w:tc>
      </w:tr>
      <w:tr w:rsidR="00584254" w:rsidRPr="00F30408" w:rsidTr="00EF578B">
        <w:trPr>
          <w:trHeight w:val="1829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F30408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gram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сфере дошкольного образования в рамках регионального конкурса поддержки малого предпринимательства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повышения уровня квалификации руководителей и педагогов частных дошкольных образовательных организаций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сотрудников дошкольных образовательных организаций, прошедших повышение квалификации, чел.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F578B" w:rsidRPr="00F30408" w:rsidRDefault="00584254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EF578B" w:rsidRPr="00F30408" w:rsidTr="006F0E15">
        <w:trPr>
          <w:trHeight w:val="97"/>
        </w:trPr>
        <w:tc>
          <w:tcPr>
            <w:tcW w:w="817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F578B" w:rsidRPr="00F30408" w:rsidRDefault="00EF578B" w:rsidP="00EF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субсидирования организаций, реализующих программы дошкольного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организаций – получателей региональной субсидии,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EF578B" w:rsidRDefault="00EF578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78B" w:rsidRDefault="00EF578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rPr>
          <w:trHeight w:val="928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Консультационная и методическая поддержка частных дошкольных образовательных организаций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организаций, получающих консультативную и методическую поддержку, ед.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общего образования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общего образования Орловской области представлен 7 начальными общеобразовательными школами, 110 основными общеобразовательными школами и 259 образовательными организациями, реализующими программу среднего общего образования.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 регионе осуществляют деятельность следующие частные общеобразовательные организации: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«Средняя общеобразовательная Школа «Леонардо»;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>негосударственное общеобразовательное учреждение</w:t>
            </w:r>
            <w:r w:rsidR="005B18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1A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«Лицей Магистр»;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«Школа Виндзор»;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частное религиозное общеобразовательное учреждение «Орловская православная гимназия во имя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священномученика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Иоанна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Кукши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«Православная гимназия-пансион во имя преподобного Сергия Радонежского»;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местной религиозной организации «Православный приход храма Сретения Господня поселок Вятский Посад Орловского района Орловской области Орловской епархии Русской Православной Церкви (Московский Патриарх</w:t>
            </w:r>
            <w:r w:rsidR="00DA45FB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)» «Орловская православная гимназия имени Преподобного Алексея».</w:t>
            </w:r>
          </w:p>
          <w:p w:rsidR="00584254" w:rsidRPr="00F30408" w:rsidRDefault="00584254" w:rsidP="00E3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Основным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барьером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входа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частных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на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рынок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441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ограниченны</w:t>
            </w:r>
            <w:r w:rsidR="00DA45FB">
              <w:rPr>
                <w:rFonts w:ascii="Times New Roman" w:hAnsi="Times New Roman"/>
                <w:sz w:val="24"/>
                <w:szCs w:val="24"/>
              </w:rPr>
              <w:t>й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198" w:rsidRPr="00F30408" w:rsidTr="006F0E15">
        <w:tc>
          <w:tcPr>
            <w:tcW w:w="817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198" w:rsidRPr="00F30408" w:rsidTr="00CB0B6E">
        <w:tc>
          <w:tcPr>
            <w:tcW w:w="15276" w:type="dxa"/>
            <w:gridSpan w:val="8"/>
            <w:vAlign w:val="center"/>
          </w:tcPr>
          <w:p w:rsidR="00E37198" w:rsidRDefault="00E37198" w:rsidP="00E3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платежеспособный спрос населения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E71AC9" w:rsidP="00E7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 xml:space="preserve"> сектора частных общеобразовательных организаций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частных общеобразовательных организаций,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субсидирования организаций, реализующих программы общего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FA406D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Число организаций – получателей региональной субсидии,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Консультационная и методическая поддержка частных общеобразовательных организаций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организаций, получающих консультативную и методическую поддержку,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повышения уровня квалификации руководителей и педагогов частных общеобразовательных организаций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сотрудников образовательных организаций, прошедших повышение квалификации, чел.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1213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области представлено 130 образовательными организациями: 21 областной, 101 муниципальной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и 8 частн</w:t>
            </w:r>
            <w:r w:rsidR="00DA45FB"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</w:tc>
      </w:tr>
      <w:tr w:rsidR="00E37198" w:rsidRPr="00F30408" w:rsidTr="00E37198">
        <w:trPr>
          <w:trHeight w:val="207"/>
        </w:trPr>
        <w:tc>
          <w:tcPr>
            <w:tcW w:w="817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37198" w:rsidRPr="00F30408" w:rsidRDefault="00E37198" w:rsidP="00E3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13E4" w:rsidRPr="00F30408" w:rsidTr="00CB0B6E">
        <w:trPr>
          <w:trHeight w:val="207"/>
        </w:trPr>
        <w:tc>
          <w:tcPr>
            <w:tcW w:w="15276" w:type="dxa"/>
            <w:gridSpan w:val="8"/>
            <w:vAlign w:val="center"/>
          </w:tcPr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Детский клуб </w:t>
            </w:r>
            <w:proofErr w:type="spellStart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>Bambini</w:t>
            </w:r>
            <w:proofErr w:type="spellEnd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ул. 60-летия Октября, д. 17.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Детский клуб </w:t>
            </w:r>
            <w:proofErr w:type="spellStart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  <w:lang w:val="en-US"/>
              </w:rPr>
              <w:t>GoldenBabyclub</w:t>
            </w:r>
            <w:proofErr w:type="spellEnd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30408">
                <w:rPr>
                  <w:rStyle w:val="elementhandle"/>
                  <w:rFonts w:ascii="Times New Roman" w:hAnsi="Times New Roman"/>
                  <w:sz w:val="24"/>
                  <w:szCs w:val="24"/>
                </w:rPr>
                <w:t xml:space="preserve">1, </w:t>
              </w:r>
              <w:r w:rsidRPr="00F30408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F30408">
              <w:rPr>
                <w:rFonts w:ascii="Times New Roman" w:hAnsi="Times New Roman"/>
                <w:sz w:val="24"/>
                <w:szCs w:val="24"/>
              </w:rPr>
              <w:t>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Наугорское шоссе, д. 86.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Семейный клуб Веселый жираф,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Новосильский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пер., д. 1б, корп. В.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Центр досуга и развития Детская Радуга,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ул. Бурова, д. 30, корп. 2.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Центр детского творчества Изумруд,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л, ул.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Блынского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Детская студия Лужайка,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пер. Донской, д. 1.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Детский досуговый центр Ступеньки,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ул. 5 Орловской стрелковой дивизии, д. 2, оф. 4.</w:t>
            </w:r>
          </w:p>
          <w:p w:rsidR="001213E4" w:rsidRPr="00F30408" w:rsidRDefault="001213E4" w:rsidP="001213E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>досугово-развивающий</w:t>
            </w:r>
            <w:proofErr w:type="spellEnd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>Эники-Беники</w:t>
            </w:r>
            <w:proofErr w:type="spellEnd"/>
            <w:r w:rsidRPr="00F30408">
              <w:rPr>
                <w:rStyle w:val="elementhandle"/>
                <w:rFonts w:ascii="Times New Roman" w:hAnsi="Times New Roman"/>
                <w:sz w:val="24"/>
                <w:szCs w:val="24"/>
              </w:rPr>
              <w:t xml:space="preserve">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г. Ор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л, Наугорское шоссе, д. 88.</w:t>
            </w:r>
          </w:p>
          <w:p w:rsidR="001213E4" w:rsidRDefault="001213E4" w:rsidP="00D32D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Методическую функцию в системе дополнительного образования детей осуществляют три государственных образовательных организации Орловской области дополнительного образования детей: Дворец пионеров и школьников им. Ю. А. Гагарина; Орловская станция юных натуралистов; Центр детского (юношеского) технического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туризма и экскурсий</w:t>
            </w:r>
          </w:p>
        </w:tc>
      </w:tr>
      <w:tr w:rsidR="00584254" w:rsidRPr="00F30408" w:rsidTr="00D32D83">
        <w:trPr>
          <w:trHeight w:val="1116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E71AC9" w:rsidP="00E7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 xml:space="preserve"> сектора частных образовательных организаций дополнительного образования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частных образовательных организаций дополнительного образования, ед.</w:t>
            </w:r>
          </w:p>
        </w:tc>
        <w:tc>
          <w:tcPr>
            <w:tcW w:w="144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E56AA" w:rsidRPr="00F30408" w:rsidRDefault="00584254" w:rsidP="00D3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584254" w:rsidRPr="00F30408" w:rsidTr="006F0E15">
        <w:trPr>
          <w:trHeight w:val="259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организаций, которым будут оказана консультативная помощь,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BE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Внедрение общедоступного навигатора по дополнительным общеобразовательным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информационных систем, ед.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AA" w:rsidRPr="00F30408" w:rsidTr="00BE56AA">
        <w:trPr>
          <w:trHeight w:val="277"/>
        </w:trPr>
        <w:tc>
          <w:tcPr>
            <w:tcW w:w="817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E56AA" w:rsidRPr="00F30408" w:rsidRDefault="00BE56AA" w:rsidP="00BE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EB4" w:rsidRPr="00F30408" w:rsidTr="00BE56AA">
        <w:trPr>
          <w:trHeight w:val="398"/>
        </w:trPr>
        <w:tc>
          <w:tcPr>
            <w:tcW w:w="81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1EB4" w:rsidRPr="00F30408" w:rsidRDefault="00991EB4" w:rsidP="00BE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программам</w:t>
            </w:r>
          </w:p>
        </w:tc>
        <w:tc>
          <w:tcPr>
            <w:tcW w:w="212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1EB4" w:rsidRPr="00F30408" w:rsidRDefault="00991EB4" w:rsidP="00BE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B4" w:rsidRPr="00F30408" w:rsidTr="006F0E15">
        <w:trPr>
          <w:trHeight w:val="1634"/>
        </w:trPr>
        <w:tc>
          <w:tcPr>
            <w:tcW w:w="81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44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DA45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В Орловской области сформирована и функционирует служба психолого-педагогического и медико-социального сопровождения, представленная 10 центрами психолого-педагогической, медицинской и социальной помощи (1 </w:t>
            </w:r>
            <w:r w:rsidR="00DA45F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областной, 9 </w:t>
            </w:r>
            <w:r w:rsidR="00DA45F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муниципальных), психолого-медико-педагогическими комиссиями, психолого-педагогическими консилиумами образовательных организаций. Доля присутствия частного бизнеса на рынке по состоянию на 1 января 2019 года составляет 10 %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4254" w:rsidRPr="00F30408" w:rsidRDefault="00584254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Мониторинг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BE56AA" w:rsidRPr="00F30408" w:rsidRDefault="00584254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численности детей с ограниченными возможностями здоровья (в возрасте до 6 лет), которым были оказаны услуги ранней диагностики, социализации и реабилитации в организациях частной формы собственности за счет средств консолидированного бюджета Орловской области, в общей численности детей, которым были оказаны данные </w:t>
            </w:r>
          </w:p>
        </w:tc>
        <w:tc>
          <w:tcPr>
            <w:tcW w:w="144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47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4254" w:rsidRPr="00F30408" w:rsidRDefault="00584254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Распространение информации о наличии потребности в Орловской области в создании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4254" w:rsidRPr="00F30408" w:rsidRDefault="00584254" w:rsidP="00CB0B6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t xml:space="preserve">Организация ранней помощи детям с ограниченными возможностями здоровья и обучающих программ для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6E" w:rsidRPr="00F30408" w:rsidTr="00CB0B6E">
        <w:trPr>
          <w:trHeight w:val="114"/>
        </w:trPr>
        <w:tc>
          <w:tcPr>
            <w:tcW w:w="81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CB0B6E" w:rsidRPr="00F30408" w:rsidRDefault="00CB0B6E" w:rsidP="00CB0B6E">
            <w:pPr>
              <w:pStyle w:val="aa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EB4" w:rsidRPr="00F30408" w:rsidTr="00CB0B6E">
        <w:trPr>
          <w:trHeight w:val="146"/>
        </w:trPr>
        <w:tc>
          <w:tcPr>
            <w:tcW w:w="81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EB4" w:rsidRPr="00F30408" w:rsidRDefault="00991EB4" w:rsidP="006F0E15">
            <w:pPr>
              <w:pStyle w:val="aa"/>
              <w:jc w:val="left"/>
            </w:pPr>
            <w:r w:rsidRPr="00F30408">
              <w:t>родителей с такими детьми на базе социа</w:t>
            </w:r>
            <w:r>
              <w:t xml:space="preserve">льно </w:t>
            </w:r>
            <w:r w:rsidRPr="00F30408">
              <w:t>ориентированных некоммерческих организаций</w:t>
            </w:r>
          </w:p>
        </w:tc>
        <w:tc>
          <w:tcPr>
            <w:tcW w:w="212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1EB4" w:rsidRPr="00F30408" w:rsidRDefault="00991EB4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услуги в организациях всех форм собственности за счет средств консолидированного бюджета Орловской области, %</w:t>
            </w:r>
          </w:p>
        </w:tc>
        <w:tc>
          <w:tcPr>
            <w:tcW w:w="144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B4" w:rsidRPr="00F30408" w:rsidTr="006F0E15">
        <w:tc>
          <w:tcPr>
            <w:tcW w:w="81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91EB4" w:rsidRPr="00F30408" w:rsidRDefault="00991EB4" w:rsidP="006F0E15">
            <w:pPr>
              <w:pStyle w:val="aa"/>
              <w:jc w:val="left"/>
            </w:pPr>
            <w:r w:rsidRPr="00F30408">
              <w:t>Организация обучения специалистов, работающих с семьями с детьми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обучение, чел.</w:t>
            </w:r>
          </w:p>
        </w:tc>
        <w:tc>
          <w:tcPr>
            <w:tcW w:w="1446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991EB4" w:rsidRPr="00F30408" w:rsidRDefault="00991EB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Рынок купли-продажи электрической энергии (мощности) на розничном рынке электрической энергии (мощности) 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2018 году на розничном рынке купли-продажи электроэнергии в Орловской области действовали 18 хозяйствующих субъектов, из которых 1 гарантирующий поставщик, 12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организаций, заключивших договор с гарантирующим поставщиком, 5 независимых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организаций, действующих без договорных отношений с гарантирующим поставщиком.   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Все из указанных организаций относятся к частной форме собственности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систематического наблюдения за состоянием конкуренции на рынке и недопущение ухудшения ситуации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CB0B6E" w:rsidRPr="00F30408" w:rsidTr="006F0E15">
        <w:tc>
          <w:tcPr>
            <w:tcW w:w="817" w:type="dxa"/>
            <w:vAlign w:val="center"/>
          </w:tcPr>
          <w:p w:rsidR="00CB0B6E" w:rsidRPr="00F30408" w:rsidRDefault="00CB0B6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B0B6E" w:rsidRPr="00F30408" w:rsidRDefault="00CB0B6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регулирования цен (тарифов)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CB0B6E" w:rsidRPr="00F30408" w:rsidRDefault="00CB0B6E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товаров, работ, услуг в натуральном выражении (кВт ч) организациями частной формы собственности, осуществляющими деятельность на </w:t>
            </w:r>
          </w:p>
        </w:tc>
        <w:tc>
          <w:tcPr>
            <w:tcW w:w="1446" w:type="dxa"/>
            <w:vMerge w:val="restart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CB0B6E" w:rsidRPr="00F30408" w:rsidRDefault="00CB0B6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  <w:vAlign w:val="center"/>
          </w:tcPr>
          <w:p w:rsidR="00CB0B6E" w:rsidRPr="00F30408" w:rsidRDefault="00CB0B6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B0B6E" w:rsidRPr="00F30408" w:rsidRDefault="00584254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(надзора</w:t>
            </w:r>
            <w:r w:rsidR="00DA45FB">
              <w:rPr>
                <w:rFonts w:ascii="Times New Roman" w:hAnsi="Times New Roman"/>
                <w:sz w:val="24"/>
                <w:szCs w:val="24"/>
              </w:rPr>
              <w:t>)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части соблюдения стандартов раскрытия информации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энергоснабжающими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энергосбытовыми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DA45FB"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6E" w:rsidRPr="00F30408" w:rsidTr="00CB0B6E">
        <w:trPr>
          <w:trHeight w:val="146"/>
        </w:trPr>
        <w:tc>
          <w:tcPr>
            <w:tcW w:w="81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1AA" w:rsidRPr="00F30408" w:rsidTr="001511AA">
        <w:trPr>
          <w:trHeight w:val="130"/>
        </w:trPr>
        <w:tc>
          <w:tcPr>
            <w:tcW w:w="817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11AA" w:rsidRPr="00F30408" w:rsidRDefault="001511AA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организациями и гарантирующими поставщиками</w:t>
            </w:r>
          </w:p>
        </w:tc>
        <w:tc>
          <w:tcPr>
            <w:tcW w:w="2126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511AA" w:rsidRPr="00F30408" w:rsidRDefault="001511AA" w:rsidP="001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рынке купли-продажи электроэнергии на розничном рынке электроэнергии, в объеме реализованных на рынке товаров, работ, услуг в натуральном выражении (кВт ч) всех хозяйствующих субъектов,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AA" w:rsidRPr="00F30408" w:rsidTr="006F0E15">
        <w:tc>
          <w:tcPr>
            <w:tcW w:w="817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511AA" w:rsidRPr="00F30408" w:rsidRDefault="001511AA" w:rsidP="00F90F4C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Формирование сводного прогнозного баланса производства и поставок электрической энергии (мощности) в рамках Единой энергетической системы России по Орловской области </w:t>
            </w:r>
          </w:p>
        </w:tc>
        <w:tc>
          <w:tcPr>
            <w:tcW w:w="2126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AA" w:rsidRPr="00F30408" w:rsidTr="006F0E15">
        <w:tc>
          <w:tcPr>
            <w:tcW w:w="817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511AA" w:rsidRPr="00F30408" w:rsidRDefault="001511AA" w:rsidP="001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Передача потребителей, осуществляющих свою деятельность в сфере жилищно-коммунального хозяйства, и находящиеся на обслуживании у неэффективных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организаций, частным операторам на основе концессионных соглашений</w:t>
            </w:r>
          </w:p>
        </w:tc>
        <w:tc>
          <w:tcPr>
            <w:tcW w:w="2126" w:type="dxa"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511AA" w:rsidRPr="00F30408" w:rsidRDefault="001511A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когенерации</w:t>
            </w:r>
            <w:proofErr w:type="spellEnd"/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2018 году на розничном рынке купли-продажи электроэнергии в Орловской области действовали 18 хозяйствующих субъектов, из которых 1 гарантирующий поставщик, 12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организаций, заключивших договор с гарантирующим поставщиком, 5 независимых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энергосбытовых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организаций, действующих без договорных отношений с гарантирующим поставщиком.   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Все из указанных организаций относятс</w:t>
            </w:r>
            <w:r w:rsidR="00DA45FB">
              <w:rPr>
                <w:rFonts w:ascii="Times New Roman" w:hAnsi="Times New Roman"/>
                <w:sz w:val="24"/>
                <w:szCs w:val="24"/>
              </w:rPr>
              <w:t>я к частной форме собственности</w:t>
            </w:r>
          </w:p>
        </w:tc>
      </w:tr>
      <w:tr w:rsidR="00584254" w:rsidRPr="00F30408" w:rsidTr="001E324D">
        <w:trPr>
          <w:trHeight w:val="1560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систематического наблюдения за состоянием конкуренции на рынке и недопущение ухудшения ситуации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1E324D" w:rsidRPr="00F30408" w:rsidTr="001E324D">
        <w:trPr>
          <w:trHeight w:val="162"/>
        </w:trPr>
        <w:tc>
          <w:tcPr>
            <w:tcW w:w="817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324D" w:rsidRPr="00F30408" w:rsidTr="001E324D">
        <w:trPr>
          <w:trHeight w:val="976"/>
        </w:trPr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регулирования цен (тарифов)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товаров, работ, услуг в натуральном выражении (кВт ч) организациями частной формы собственности, осуществляющими деятельность на розничном рынке производства электрической энергии (мощности), включая производство электрической энергии в режиме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когенерации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в объеме реализованных на рынке товаров, работ, услуг в натуральном </w:t>
            </w:r>
          </w:p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выражении (кВт ч) всех хозяйствующих субъектов,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4D" w:rsidRPr="00F30408" w:rsidTr="001E324D">
        <w:trPr>
          <w:trHeight w:val="1557"/>
        </w:trPr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контроля (надзора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части соблюдения стандартов раскрытия информации 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4D" w:rsidRPr="00F30408" w:rsidTr="001E324D">
        <w:trPr>
          <w:trHeight w:val="2104"/>
        </w:trPr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E324D" w:rsidRPr="00F30408" w:rsidRDefault="001E324D" w:rsidP="008950C8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Формирование сводного прогнозного баланса производства и поставок электрической энергии (мощности) в рамках Единой энергетической системы России по Орловской области 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4D" w:rsidRPr="00F30408" w:rsidTr="001E324D">
        <w:trPr>
          <w:trHeight w:val="29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 инвестиционных проектов, направленных на внедрение новых современных технологий, в том числе энергосберегающих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1E324D">
        <w:trPr>
          <w:trHeight w:val="419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584254" w:rsidRPr="00F30408" w:rsidTr="001E324D">
        <w:trPr>
          <w:trHeight w:val="680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Орловской области доля организаций с частной формой собственности на указанном товарном рынке составляет 100 % </w:t>
            </w:r>
          </w:p>
        </w:tc>
      </w:tr>
      <w:tr w:rsidR="001E324D" w:rsidRPr="00F30408" w:rsidTr="006F0E15">
        <w:tc>
          <w:tcPr>
            <w:tcW w:w="817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1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324D" w:rsidRPr="00F30408" w:rsidTr="006F0E15"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систематического наблюдения за состоянием конкуренции на рынке и недопущение ухудшения ситуации 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1E324D" w:rsidRPr="00F30408" w:rsidTr="006F0E15"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Поставка сжиженного газа в баллонах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товаров, работ, услуг в натуральном выражении (куб. м) организациями частной формы собственности, осуществляющими деятельность на рынке поставки сжиженного газа в баллонах, в объеме реализованных на рынке товаров, работ, услуг в натуральном выражении (куб. м) всех хозяйствующих </w:t>
            </w:r>
          </w:p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субъектов,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4D" w:rsidRPr="00F30408" w:rsidTr="00E45D59">
        <w:trPr>
          <w:trHeight w:val="2484"/>
        </w:trPr>
        <w:tc>
          <w:tcPr>
            <w:tcW w:w="817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2126" w:type="dxa"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 xml:space="preserve"> до 31 декабря</w:t>
            </w:r>
          </w:p>
        </w:tc>
        <w:tc>
          <w:tcPr>
            <w:tcW w:w="2552" w:type="dxa"/>
            <w:vMerge/>
            <w:vAlign w:val="center"/>
          </w:tcPr>
          <w:p w:rsidR="001E324D" w:rsidRPr="00F30408" w:rsidRDefault="001E324D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E324D" w:rsidRPr="00F30408" w:rsidRDefault="001E324D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легкой промышленности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Орелстата</w:t>
            </w:r>
            <w:proofErr w:type="spellEnd"/>
            <w:r w:rsidR="00DA45FB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общее число предприятий и организаций в легкой промышленности Орловской области составляет около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100 единиц.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Основная номенклатура производимой продукции:</w:t>
            </w:r>
          </w:p>
          <w:p w:rsidR="00584254" w:rsidRPr="00F30408" w:rsidRDefault="00DA45FB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>екстиль и изделия текстильные,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0B6E" w:rsidRPr="00F30408" w:rsidTr="00CB0B6E">
        <w:trPr>
          <w:trHeight w:val="130"/>
        </w:trPr>
        <w:tc>
          <w:tcPr>
            <w:tcW w:w="81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B0B6E" w:rsidRPr="00F30408" w:rsidRDefault="00CB0B6E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D1A" w:rsidRPr="00F30408" w:rsidTr="00E45D59">
        <w:trPr>
          <w:trHeight w:val="98"/>
        </w:trPr>
        <w:tc>
          <w:tcPr>
            <w:tcW w:w="15276" w:type="dxa"/>
            <w:gridSpan w:val="8"/>
            <w:vAlign w:val="center"/>
          </w:tcPr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ткани готовые;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белье постельное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дежда, в том числе: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спецодежда;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одеяла и дорожные пледы (кроме электрических одеял);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изделия трикотажные или вязаные (белье нательное, футболки, майки и прочие нижние рубашки, джемперы, пуловеры, кардиганы, жилеты и аналогичные изделия);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изделия из текстильных материалов (пальто, полупальто, платья женские или для девочек, юбки и юбки-брюки женские или для девочек, блузки, рубашки и батники женские или для девочек, куртки, костюмы и комплекты);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изделия чулочно-н</w:t>
            </w:r>
            <w:r>
              <w:rPr>
                <w:rFonts w:ascii="Times New Roman" w:hAnsi="Times New Roman"/>
                <w:sz w:val="24"/>
                <w:szCs w:val="24"/>
              </w:rPr>
              <w:t>осочные трикотажные или вязаные;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ожа и изделия из кожи, в том числе: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обувь, в том числе детская.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Общий объем отгруженной продукции на рынке по итогам 2018 года составил 3,5 млрд рублей.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Подавляющее большинство предприятий легкой промышленности в регионе относится к частному бизнесу. Производства данной сферы деятельности в государственном секторе есть только в сфере УФСИН. Предприятия, преобладающие на рынке, отсутствуют.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Основные проблемы развития рынка: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производственно-технологическое отставание, высокая степень износа оборудования;</w:t>
            </w:r>
          </w:p>
          <w:p w:rsidR="00810D1A" w:rsidRPr="00F30408" w:rsidRDefault="00810D1A" w:rsidP="00810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высокая конкуренция на рынке со стороны зарубежной продукции;</w:t>
            </w:r>
          </w:p>
          <w:p w:rsidR="00810D1A" w:rsidRPr="00F30408" w:rsidRDefault="00810D1A" w:rsidP="0081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наличие контрафактной продукции на рынке</w:t>
            </w:r>
          </w:p>
        </w:tc>
      </w:tr>
      <w:tr w:rsidR="00810D1A" w:rsidRPr="00F30408" w:rsidTr="00CB0B6E">
        <w:trPr>
          <w:trHeight w:val="162"/>
        </w:trPr>
        <w:tc>
          <w:tcPr>
            <w:tcW w:w="817" w:type="dxa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10D1A" w:rsidRPr="00F30408" w:rsidRDefault="00810D1A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предприятиям легкой промышленности в борьбе с контрафактной продукцией 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810D1A" w:rsidRPr="00F30408" w:rsidRDefault="00810D1A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в отрасли экономики частного бизнеса, %</w:t>
            </w:r>
          </w:p>
        </w:tc>
        <w:tc>
          <w:tcPr>
            <w:tcW w:w="1446" w:type="dxa"/>
            <w:vMerge w:val="restart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vMerge w:val="restart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7" w:type="dxa"/>
            <w:vMerge w:val="restart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Merge w:val="restart"/>
            <w:vAlign w:val="center"/>
          </w:tcPr>
          <w:p w:rsidR="00810D1A" w:rsidRPr="00F30408" w:rsidRDefault="00810D1A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промышленности и торговли Орловской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810D1A" w:rsidRPr="00F30408" w:rsidTr="006F0E15">
        <w:tc>
          <w:tcPr>
            <w:tcW w:w="817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предприятиям легкой промышленности в участии в мероприятиях по получению мер государственной поддержки 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1A" w:rsidRPr="00F30408" w:rsidTr="006F0E15">
        <w:tc>
          <w:tcPr>
            <w:tcW w:w="817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10D1A" w:rsidRPr="00F30408" w:rsidRDefault="00F81A56" w:rsidP="00F8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810D1A" w:rsidRPr="00F30408">
              <w:rPr>
                <w:rFonts w:ascii="Times New Roman" w:hAnsi="Times New Roman"/>
                <w:sz w:val="24"/>
                <w:szCs w:val="24"/>
              </w:rPr>
              <w:t xml:space="preserve">Интернет информации о предусмотренных мерах поддержки предприятий 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Ежегодно</w:t>
            </w:r>
            <w:r w:rsidRPr="00F30408">
              <w:rPr>
                <w:color w:val="auto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/>
            <w:vAlign w:val="center"/>
          </w:tcPr>
          <w:p w:rsidR="00810D1A" w:rsidRPr="00F30408" w:rsidRDefault="00810D1A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1A" w:rsidRPr="00F30408" w:rsidTr="00810D1A">
        <w:trPr>
          <w:trHeight w:val="130"/>
        </w:trPr>
        <w:tc>
          <w:tcPr>
            <w:tcW w:w="817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810D1A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10D1A" w:rsidRPr="00F30408" w:rsidRDefault="00810D1A" w:rsidP="00810D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81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D1A" w:rsidRPr="00F30408" w:rsidTr="00810D1A">
        <w:trPr>
          <w:trHeight w:val="130"/>
        </w:trPr>
        <w:tc>
          <w:tcPr>
            <w:tcW w:w="817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легкой промышленности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10D1A" w:rsidRPr="00F30408" w:rsidRDefault="00810D1A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1A" w:rsidRPr="00F30408" w:rsidTr="006F0E15">
        <w:tc>
          <w:tcPr>
            <w:tcW w:w="817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10D1A" w:rsidRPr="00F30408" w:rsidRDefault="00810D1A" w:rsidP="006F0E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проведения выставок-ярмарок</w:t>
            </w:r>
          </w:p>
        </w:tc>
        <w:tc>
          <w:tcPr>
            <w:tcW w:w="2552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производства кирпича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987F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Орелстата</w:t>
            </w:r>
            <w:proofErr w:type="spellEnd"/>
            <w:r w:rsidR="00DA45FB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общее число предприятий и организаций по производству кирпича Орловской области </w:t>
            </w:r>
            <w:r w:rsidR="00DA45FB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около 10 единиц.</w:t>
            </w:r>
          </w:p>
          <w:p w:rsidR="00584254" w:rsidRPr="00F30408" w:rsidRDefault="00584254" w:rsidP="00987F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Основная номенклатура производимой продукции: </w:t>
            </w:r>
            <w:r w:rsidR="00DA45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ирпич керамический, силикатный.</w:t>
            </w:r>
          </w:p>
          <w:p w:rsidR="00584254" w:rsidRPr="00F30408" w:rsidRDefault="00584254" w:rsidP="00987F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Предприятия по производству кирпича в регионе относятся к частному бизнесу и представлены организациями малого и среднего бизнеса. Предприятия, преобладающие на рынке, отсутствуют.</w:t>
            </w:r>
          </w:p>
          <w:p w:rsidR="00987FE2" w:rsidRDefault="00584254" w:rsidP="00987F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Основные проблемы развития рынка:</w:t>
            </w:r>
            <w:r w:rsidR="0098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54" w:rsidRPr="00F30408" w:rsidRDefault="00584254" w:rsidP="00987F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производственно-технологическое отставание, высокая степень износа оборудования</w:t>
            </w:r>
          </w:p>
        </w:tc>
      </w:tr>
      <w:tr w:rsidR="00810D1A" w:rsidRPr="00F30408" w:rsidTr="00E45D59">
        <w:trPr>
          <w:trHeight w:val="249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предприятиям по производству кирпича в реализации мероприятий по повышению производительности труда с целью повышения конкурентоспособности выпускаемой продукции за </w:t>
            </w:r>
          </w:p>
          <w:p w:rsidR="00810D1A" w:rsidRPr="00F30408" w:rsidRDefault="00810D1A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счет снижения издержек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57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vMerge w:val="restart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7" w:type="dxa"/>
            <w:vMerge w:val="restart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10D1A" w:rsidRPr="00F30408" w:rsidRDefault="00810D1A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промышленности и торговли Орловской области</w:t>
            </w:r>
          </w:p>
        </w:tc>
      </w:tr>
      <w:tr w:rsidR="00810D1A" w:rsidRPr="00F30408" w:rsidTr="00CB0B6E">
        <w:trPr>
          <w:trHeight w:val="1250"/>
        </w:trPr>
        <w:tc>
          <w:tcPr>
            <w:tcW w:w="817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Привлечение предприятий региона к участию в обеспечении регионального государственного заказа</w:t>
            </w:r>
          </w:p>
        </w:tc>
        <w:tc>
          <w:tcPr>
            <w:tcW w:w="2126" w:type="dxa"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1A" w:rsidRPr="00F30408" w:rsidTr="00810D1A">
        <w:trPr>
          <w:trHeight w:val="971"/>
        </w:trPr>
        <w:tc>
          <w:tcPr>
            <w:tcW w:w="817" w:type="dxa"/>
            <w:vAlign w:val="center"/>
          </w:tcPr>
          <w:p w:rsidR="00810D1A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D3">
              <w:rPr>
                <w:rFonts w:ascii="Times New Roman" w:hAnsi="Times New Roman"/>
                <w:sz w:val="24"/>
                <w:szCs w:val="24"/>
              </w:rPr>
              <w:t>Содействие реконструкции, модернизации действующих производств, в том числе путем информирования</w:t>
            </w:r>
          </w:p>
        </w:tc>
        <w:tc>
          <w:tcPr>
            <w:tcW w:w="2126" w:type="dxa"/>
            <w:vAlign w:val="center"/>
          </w:tcPr>
          <w:p w:rsidR="00810D1A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1A" w:rsidRPr="00F30408" w:rsidRDefault="00810D1A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1A" w:rsidRPr="00F30408" w:rsidTr="00810D1A">
        <w:trPr>
          <w:trHeight w:val="162"/>
        </w:trPr>
        <w:tc>
          <w:tcPr>
            <w:tcW w:w="817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10D1A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8D3" w:rsidRPr="00F30408" w:rsidTr="008858D3">
        <w:trPr>
          <w:trHeight w:val="1685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8D3" w:rsidRPr="00F30408" w:rsidRDefault="008858D3" w:rsidP="008858D3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предприятий отрасли о действующих мерах государственной поддержки технического перевооружения предприятий промышленности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D3" w:rsidRPr="00F30408" w:rsidTr="00CB0B6E">
        <w:trPr>
          <w:trHeight w:val="1960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6F0E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участников рынка об инвестиционной деятельности в регионе по направлению строительства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D3" w:rsidRPr="00F30408" w:rsidTr="008858D3">
        <w:trPr>
          <w:trHeight w:val="2572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DA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для доступа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проведения выставок</w:t>
            </w:r>
          </w:p>
        </w:tc>
        <w:tc>
          <w:tcPr>
            <w:tcW w:w="2552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D3" w:rsidRPr="00F30408" w:rsidTr="008858D3">
        <w:trPr>
          <w:trHeight w:val="2666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в соответствии с законодательством субъекта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D3" w:rsidRPr="00F30408" w:rsidTr="008858D3">
        <w:trPr>
          <w:trHeight w:val="130"/>
        </w:trPr>
        <w:tc>
          <w:tcPr>
            <w:tcW w:w="817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8D3" w:rsidRPr="00F30408" w:rsidTr="008858D3">
        <w:trPr>
          <w:trHeight w:val="3811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Разработка системных мероприятий, направленных на стимулирование спроса в секторе жилищного строительства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транспорта и дорожного хозяйства </w:t>
            </w:r>
          </w:p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584254" w:rsidRPr="00F30408" w:rsidTr="008858D3">
        <w:trPr>
          <w:trHeight w:val="360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производства бетона</w:t>
            </w:r>
          </w:p>
        </w:tc>
      </w:tr>
      <w:tr w:rsidR="00584254" w:rsidRPr="00F30408" w:rsidTr="008858D3">
        <w:trPr>
          <w:trHeight w:val="1744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Орелстата</w:t>
            </w:r>
            <w:proofErr w:type="spellEnd"/>
            <w:r w:rsidR="00214F9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общее число предприятий и организаций по производству бетона Орловской области</w:t>
            </w:r>
            <w:r w:rsidR="00DA45FB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около 20 единиц.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Основная номенклатура производимой продукции: бетон товарный (готовый к заливке).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Объем производства товарного бетона в Орловской области в 2018 году составил 105,5 тыс. куб. м</w:t>
            </w:r>
            <w:r w:rsidR="00B90A8E" w:rsidRPr="00F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Предприятия по производству бетона в регионе относятся к частному бизнесу. Предприятия, преобладающие на рынке, отсутствуют.</w:t>
            </w:r>
          </w:p>
          <w:p w:rsidR="00987FE2" w:rsidRDefault="00584254" w:rsidP="00987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Основные проблемы развития рынка:</w:t>
            </w:r>
            <w:r w:rsidR="0098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54" w:rsidRPr="00F30408" w:rsidRDefault="00584254" w:rsidP="00987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производственно-технологическое отставание, высокая степень износа оборудования</w:t>
            </w:r>
          </w:p>
        </w:tc>
      </w:tr>
      <w:tr w:rsidR="008858D3" w:rsidRPr="00F30408" w:rsidTr="008858D3">
        <w:trPr>
          <w:trHeight w:val="2832"/>
        </w:trPr>
        <w:tc>
          <w:tcPr>
            <w:tcW w:w="817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предприятиям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бетона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реализации мероприятий по </w:t>
            </w:r>
          </w:p>
          <w:p w:rsidR="008858D3" w:rsidRPr="00F30408" w:rsidRDefault="008858D3" w:rsidP="002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повышению производительности труда с целью повышения конкурентоспособности выпускаемой продукции за счет снижения издержек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858D3" w:rsidRPr="00F30408" w:rsidRDefault="008858D3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частных организаций, оказывающих услуги </w:t>
            </w:r>
          </w:p>
          <w:p w:rsidR="008858D3" w:rsidRPr="00F30408" w:rsidRDefault="008858D3" w:rsidP="00CB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рынке, %</w:t>
            </w:r>
          </w:p>
        </w:tc>
        <w:tc>
          <w:tcPr>
            <w:tcW w:w="1446" w:type="dxa"/>
            <w:vAlign w:val="center"/>
          </w:tcPr>
          <w:p w:rsidR="008858D3" w:rsidRPr="00F30408" w:rsidRDefault="008858D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vAlign w:val="center"/>
          </w:tcPr>
          <w:p w:rsidR="008858D3" w:rsidRPr="00F30408" w:rsidRDefault="008858D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7" w:type="dxa"/>
            <w:vAlign w:val="center"/>
          </w:tcPr>
          <w:p w:rsidR="008858D3" w:rsidRPr="00F30408" w:rsidRDefault="008858D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CB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промышленности и торговли </w:t>
            </w:r>
          </w:p>
          <w:p w:rsidR="008858D3" w:rsidRPr="00F30408" w:rsidRDefault="008858D3" w:rsidP="0001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8858D3" w:rsidRPr="00F30408" w:rsidTr="008858D3">
        <w:trPr>
          <w:trHeight w:val="146"/>
        </w:trPr>
        <w:tc>
          <w:tcPr>
            <w:tcW w:w="817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8858D3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8858D3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58D3" w:rsidRPr="00F30408" w:rsidRDefault="008858D3" w:rsidP="008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40CB" w:rsidRPr="00F30408" w:rsidTr="002D40CB">
        <w:trPr>
          <w:trHeight w:val="2677"/>
        </w:trPr>
        <w:tc>
          <w:tcPr>
            <w:tcW w:w="817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Содействие реконструкции, модернизации действующих производств,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CB" w:rsidRPr="00F30408" w:rsidTr="002D40CB">
        <w:trPr>
          <w:trHeight w:val="2125"/>
        </w:trPr>
        <w:tc>
          <w:tcPr>
            <w:tcW w:w="817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D40CB" w:rsidRPr="00F30408" w:rsidRDefault="002D40CB" w:rsidP="002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для доступа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проведения выставок</w:t>
            </w:r>
          </w:p>
        </w:tc>
        <w:tc>
          <w:tcPr>
            <w:tcW w:w="2552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CB" w:rsidRPr="00F30408" w:rsidTr="002D40CB">
        <w:trPr>
          <w:trHeight w:val="1410"/>
        </w:trPr>
        <w:tc>
          <w:tcPr>
            <w:tcW w:w="817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D40CB" w:rsidRPr="00F30408" w:rsidRDefault="002D40CB" w:rsidP="006F0E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участников рынка об инвестиционной деятельности в регионе по направлению строительства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CB" w:rsidRPr="00F30408" w:rsidTr="002D40CB">
        <w:trPr>
          <w:trHeight w:val="213"/>
        </w:trPr>
        <w:tc>
          <w:tcPr>
            <w:tcW w:w="817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D40CB" w:rsidRPr="00F30408" w:rsidRDefault="002D40CB" w:rsidP="006F0E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в соответствии с законодательством субъекта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государственной (областной) поддержке инвестиционной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D40CB" w:rsidRPr="00F30408" w:rsidRDefault="002D40CB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CB" w:rsidRPr="00F30408" w:rsidTr="002D40CB">
        <w:trPr>
          <w:trHeight w:val="282"/>
        </w:trPr>
        <w:tc>
          <w:tcPr>
            <w:tcW w:w="817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D40CB" w:rsidRPr="00F30408" w:rsidRDefault="002D40CB" w:rsidP="002D40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D40CB" w:rsidRPr="00F30408" w:rsidRDefault="002D40CB" w:rsidP="002D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69C" w:rsidRPr="00F30408" w:rsidTr="002D40CB">
        <w:trPr>
          <w:trHeight w:val="395"/>
        </w:trPr>
        <w:tc>
          <w:tcPr>
            <w:tcW w:w="817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деятельности на территории субъекта</w:t>
            </w:r>
          </w:p>
        </w:tc>
        <w:tc>
          <w:tcPr>
            <w:tcW w:w="2126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9C" w:rsidRPr="00F30408" w:rsidTr="00FD0B8F">
        <w:trPr>
          <w:trHeight w:val="550"/>
        </w:trPr>
        <w:tc>
          <w:tcPr>
            <w:tcW w:w="817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Разработка системных мероприятий, направленных на стимулирование спроса в секторе жилищного строительства</w:t>
            </w:r>
          </w:p>
          <w:p w:rsidR="0057769C" w:rsidRPr="00F30408" w:rsidRDefault="0057769C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транспорта и дорожного хозяйства </w:t>
            </w:r>
          </w:p>
          <w:p w:rsidR="0057769C" w:rsidRPr="00F30408" w:rsidRDefault="0057769C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584254" w:rsidRPr="00F30408" w:rsidTr="002D40CB">
        <w:trPr>
          <w:trHeight w:val="2770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Орелстата</w:t>
            </w:r>
            <w:proofErr w:type="spellEnd"/>
            <w:r w:rsidR="00214F9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общее число предприятий и организаций Орловской области, осуществляющих обработку древесины </w:t>
            </w:r>
            <w:r w:rsidR="00247D88">
              <w:rPr>
                <w:rFonts w:ascii="Times New Roman" w:hAnsi="Times New Roman"/>
                <w:sz w:val="24"/>
                <w:szCs w:val="24"/>
              </w:rPr>
              <w:br/>
            </w:r>
            <w:r w:rsidRPr="00F30408">
              <w:rPr>
                <w:rFonts w:ascii="Times New Roman" w:hAnsi="Times New Roman"/>
                <w:sz w:val="24"/>
                <w:szCs w:val="24"/>
              </w:rPr>
              <w:t>и производство изделий из дерева</w:t>
            </w:r>
            <w:r w:rsidR="00214F9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составляет около 60 единиц.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Основная номенклатура производимой продукции: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лесоматериалы;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деревянные железнодорожные или трамвайные шпалы;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окна и их коробки деревянные;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двери, их коробки и пороги деревянные.</w:t>
            </w:r>
          </w:p>
          <w:p w:rsidR="00584254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Общий объем отгруженной продукции на рынке по итогам 2018 года составил 131,0 млн рублей.</w:t>
            </w:r>
          </w:p>
          <w:p w:rsidR="002D40CB" w:rsidRPr="00F30408" w:rsidRDefault="00584254" w:rsidP="00247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Подавляющее большинство предприятий в сфере обработки древесины и производства изделий из дерева в регионе относится к частному</w:t>
            </w:r>
            <w:r w:rsidR="00247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54" w:rsidRPr="00F30408" w:rsidRDefault="002D40CB" w:rsidP="0024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бизнесу. Предприятия, преобладающие на рынке, отсутствуют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24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предприятиям по производству изделий из дерева в реализации мероприятий по повышению производительности труда с целью повышения 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промышленности и торговли Орловской области</w:t>
            </w:r>
          </w:p>
        </w:tc>
      </w:tr>
      <w:tr w:rsidR="00247D88" w:rsidRPr="00F30408" w:rsidTr="00247D88">
        <w:trPr>
          <w:trHeight w:val="130"/>
        </w:trPr>
        <w:tc>
          <w:tcPr>
            <w:tcW w:w="817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7D88" w:rsidRPr="00F30408" w:rsidTr="00247D88">
        <w:trPr>
          <w:trHeight w:val="976"/>
        </w:trPr>
        <w:tc>
          <w:tcPr>
            <w:tcW w:w="817" w:type="dxa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88" w:rsidRPr="00F30408" w:rsidRDefault="00247D88" w:rsidP="0024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конкурентоспособности выпускаемой продукции за счет снижения издержек</w:t>
            </w:r>
          </w:p>
        </w:tc>
        <w:tc>
          <w:tcPr>
            <w:tcW w:w="2126" w:type="dxa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47D88" w:rsidRPr="00F30408" w:rsidRDefault="00247D88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D88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247D88">
        <w:trPr>
          <w:trHeight w:val="1132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проведения выставок-ярмарок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247D88">
        <w:trPr>
          <w:trHeight w:val="410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84254" w:rsidRPr="00F30408" w:rsidTr="00247D88">
        <w:trPr>
          <w:trHeight w:val="1266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территории Орловской области расположено 4552 многоквартирных дома общей площадью около 21 млн кв. м.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Лицензии на осуществление предпринимательской деятельности в Орловской области имеют 117 юридических лиц.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Деятельность по управлению многоквартирными домами в Орловской области осуществляют 110 организаций и 83 товарищества собственников жилья</w:t>
            </w:r>
          </w:p>
        </w:tc>
      </w:tr>
      <w:tr w:rsidR="00584254" w:rsidRPr="00F30408" w:rsidTr="00247D88">
        <w:trPr>
          <w:trHeight w:val="3539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по управлению многоквартирными домами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юридических лиц и индивидуальных предпринимателей</w:t>
            </w:r>
            <w:r w:rsidR="00214F9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осуществляющих деятельность по управлению многоквартирными домами на территории Орловской области на основании лицензии, %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надзорной и контрольной деятельности Орловской области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Внесение и актуализация информации в государственной информационной системе жилищно-коммунального хозяйства</w:t>
            </w:r>
          </w:p>
        </w:tc>
        <w:tc>
          <w:tcPr>
            <w:tcW w:w="2126" w:type="dxa"/>
            <w:vAlign w:val="center"/>
          </w:tcPr>
          <w:p w:rsidR="00584254" w:rsidRPr="00F30408" w:rsidRDefault="00F123B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24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Наличие актуальной информации, подлежащей размещению управление</w:t>
            </w:r>
            <w:r w:rsidR="00214F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84254" w:rsidRPr="00F30408" w:rsidRDefault="00247D8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Департамента надзорной и контрольной деятельности Орловской области</w:t>
            </w:r>
          </w:p>
        </w:tc>
      </w:tr>
      <w:tr w:rsidR="00247D88" w:rsidRPr="00F30408" w:rsidTr="00247D88">
        <w:trPr>
          <w:trHeight w:val="162"/>
        </w:trPr>
        <w:tc>
          <w:tcPr>
            <w:tcW w:w="817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47D88" w:rsidRPr="00F30408" w:rsidRDefault="00247D88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763" w:rsidRPr="00F30408" w:rsidTr="00247D88">
        <w:trPr>
          <w:trHeight w:val="162"/>
        </w:trPr>
        <w:tc>
          <w:tcPr>
            <w:tcW w:w="817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763" w:rsidRDefault="00475763" w:rsidP="0024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жилищной инспекции, %</w:t>
            </w:r>
          </w:p>
        </w:tc>
        <w:tc>
          <w:tcPr>
            <w:tcW w:w="1446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75763" w:rsidRDefault="00475763" w:rsidP="0024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63" w:rsidRPr="00F30408" w:rsidTr="006F0E15"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горячей телефонной линии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государственной жилищной инспекции Департамента надзорной и контрольной деятельности Орловской области и электронной формы обратной связи через ГИС ЖКХ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75763" w:rsidRPr="00F30408" w:rsidRDefault="00475763" w:rsidP="002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обращений,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горячую телефонную линию, через электронную форму обратной связи через ГИС ЖКХ, в общей доле обращений граждан, %</w:t>
            </w:r>
          </w:p>
        </w:tc>
        <w:tc>
          <w:tcPr>
            <w:tcW w:w="144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475763">
        <w:trPr>
          <w:trHeight w:val="182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584254" w:rsidRPr="00F30408" w:rsidTr="00475763">
        <w:trPr>
          <w:trHeight w:val="5305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данным геологоразведочных исследований</w:t>
            </w:r>
            <w:r w:rsidR="00214F9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Орловская область обладает значительными запасами минерально-сырьевых ресурсов, представленных различными видами полезных ископаемых, многие из которых в настоящее время не разрабатываются и являются резервными.</w:t>
            </w:r>
          </w:p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Воспроизводство минерально-сырьевой базы Орловской области в настоящее время осуществляется за счет собственных средств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недропользователей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 которые, получив право пользования у</w:t>
            </w:r>
            <w:r w:rsidR="00214F99">
              <w:rPr>
                <w:rFonts w:ascii="Times New Roman" w:hAnsi="Times New Roman"/>
                <w:sz w:val="24"/>
                <w:szCs w:val="24"/>
              </w:rPr>
              <w:t>частками недр местного значения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рамках проведения на них геологического изучения недр, поставили на государственный баланс запасы полезных ископаемых, полностью подготовив эти участки к промышленному освоению.</w:t>
            </w:r>
          </w:p>
          <w:p w:rsidR="00475763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состоянию на 1 января 2019 года государственным балансом Орловской области учтены 352 месторождения 16 видов полезных ископаемых, в том числе: 1 месторождение железных руд, 99 месторождений неметаллических полезных ископаемых, 1 месторождение лечебных грязей, 78 месторождений торфа (площадью более 10 га), 168 месторождений и отдельных участков пресных подземных вод,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5 месторождений минеральных подземных вод.</w:t>
            </w:r>
          </w:p>
          <w:p w:rsidR="00475763" w:rsidRPr="00F30408" w:rsidRDefault="00475763" w:rsidP="00987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Всего за 9 месяцев 2019 года выдано 47 лицензий на пользование недрами на участках недр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из них: подземные воды – 42; общераспространенные полезные ископаемые –5.</w:t>
            </w:r>
          </w:p>
          <w:p w:rsidR="00475763" w:rsidRPr="00F30408" w:rsidRDefault="00475763" w:rsidP="00987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Из общего количества разведанных месторождений полезных ископаемых в настоящее время в промышленное освоение вовлечено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 xml:space="preserve">43 месторождения по 8 видам неметаллических полезных ископаемых и 138 месторождений и отдельных участков пресных подземных вод. </w:t>
            </w:r>
          </w:p>
          <w:p w:rsidR="00475763" w:rsidRPr="00F30408" w:rsidRDefault="00475763" w:rsidP="00987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или совсем не разрабатываются такие необходимые для Орловской области не общераспростран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нные полезные ископаемые, как железные руды, цеолиты, цементное сырье, фосфориты, торф, минеральные подземные воды.</w:t>
            </w:r>
          </w:p>
          <w:p w:rsidR="00584254" w:rsidRPr="00F30408" w:rsidRDefault="00475763" w:rsidP="00475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Наличие на территории региона таких нетрадиционных видов полезных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как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кварц-глауконитовое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Ореховский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участок), минеральные воды, фосфориты, сфера применения которых огромна, предполагает 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эт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важн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составляющ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минерально-сырьевого комплекса, для чего осуществляется всесторонняя административно-правовая поддержка субъектов инвестиционной деятельности</w:t>
            </w:r>
          </w:p>
        </w:tc>
      </w:tr>
      <w:tr w:rsidR="00475763" w:rsidRPr="00F30408" w:rsidTr="00475763">
        <w:trPr>
          <w:trHeight w:val="135"/>
        </w:trPr>
        <w:tc>
          <w:tcPr>
            <w:tcW w:w="81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763" w:rsidRPr="00F30408" w:rsidTr="00987FE2">
        <w:trPr>
          <w:trHeight w:val="2117"/>
        </w:trPr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недропользователями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существенных условий лицензионных соглашений, являющихся неотъемлемой составной частью лицензии на право пользования недрами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добычи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общераспространен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полезных ископаемых на участках недр местного значения организаций частной формы собственности в общем объеме добычи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общераспространен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полезных ископаемых на участках недр местного значения всех хозяйству</w:t>
            </w:r>
            <w:r>
              <w:rPr>
                <w:rFonts w:ascii="Times New Roman" w:hAnsi="Times New Roman"/>
                <w:sz w:val="24"/>
                <w:szCs w:val="24"/>
              </w:rPr>
              <w:t>ющих субъектов данного рынка, %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60" w:type="dxa"/>
            <w:vMerge w:val="restart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347" w:type="dxa"/>
            <w:vMerge w:val="restart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Merge w:val="restart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надзорной и контрольной деятельности Орловской области</w:t>
            </w:r>
          </w:p>
        </w:tc>
      </w:tr>
      <w:tr w:rsidR="00475763" w:rsidRPr="00F30408" w:rsidTr="00987FE2">
        <w:trPr>
          <w:trHeight w:val="1552"/>
        </w:trPr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открытости процедуры проведения аукционов на право пользования участками недр местного значения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63" w:rsidRPr="00F30408" w:rsidTr="00987FE2">
        <w:trPr>
          <w:trHeight w:val="2680"/>
        </w:trPr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Информирование участников рынка об участках недр, предлагаемых для предоставления в пользование с целью добычи полезных ископаемых, о проводимых аукционах на право пользования недрами местного значения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00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</w:t>
            </w:r>
            <w:r w:rsidR="00006148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F30408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63" w:rsidRPr="00F30408" w:rsidTr="006F0E15"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Ведение реестра участков нераспределенного фонда недр общераспространенных полезных ископаемых участков недр местного значения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475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настоящее время в реестр поставщиков социальных услуг включены 65 организаций, оказывающих услуги на территории Орловской области, из </w:t>
            </w:r>
            <w:r w:rsidR="00214F99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6 – социально ориентированные некоммерческие организации. Удельный вес негосударственных организаций, оказывающих </w:t>
            </w:r>
          </w:p>
        </w:tc>
      </w:tr>
      <w:tr w:rsidR="00475763" w:rsidRPr="00F30408" w:rsidTr="00475763">
        <w:trPr>
          <w:trHeight w:val="324"/>
        </w:trPr>
        <w:tc>
          <w:tcPr>
            <w:tcW w:w="81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763" w:rsidRPr="00F30408" w:rsidTr="00475763">
        <w:trPr>
          <w:trHeight w:val="367"/>
        </w:trPr>
        <w:tc>
          <w:tcPr>
            <w:tcW w:w="15276" w:type="dxa"/>
            <w:gridSpan w:val="8"/>
          </w:tcPr>
          <w:p w:rsidR="00475763" w:rsidRPr="00F30408" w:rsidRDefault="00475763" w:rsidP="0047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социальные услуги, в общем количестве организаций, оказывающих социальные услуги, всех форм собственности составляет 8,83 %</w:t>
            </w:r>
          </w:p>
        </w:tc>
      </w:tr>
      <w:tr w:rsidR="00475763" w:rsidRPr="00F30408" w:rsidTr="006F0E15">
        <w:trPr>
          <w:trHeight w:val="1380"/>
        </w:trPr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2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поддержки частным организациям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м компенсации понесенных затрат при оказании населению социальных услуг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 w:val="restart"/>
            <w:vAlign w:val="center"/>
          </w:tcPr>
          <w:p w:rsidR="00475763" w:rsidRPr="00F30408" w:rsidRDefault="00475763" w:rsidP="0057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на рынке социальных услуг субъектов частного бизнеса, %</w:t>
            </w:r>
          </w:p>
        </w:tc>
        <w:tc>
          <w:tcPr>
            <w:tcW w:w="1446" w:type="dxa"/>
            <w:vMerge w:val="restart"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60" w:type="dxa"/>
            <w:vMerge w:val="restart"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47" w:type="dxa"/>
            <w:vMerge w:val="restart"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социальной защиты, опеки и попечительства, труда и занятости Орловской области</w:t>
            </w:r>
          </w:p>
        </w:tc>
      </w:tr>
      <w:tr w:rsidR="00475763" w:rsidRPr="00F30408" w:rsidTr="006F0E15"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независимой оценки качества условий оказания услуг организациями социального обслуживания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63" w:rsidRPr="00F30408" w:rsidTr="00475763">
        <w:trPr>
          <w:trHeight w:val="146"/>
        </w:trPr>
        <w:tc>
          <w:tcPr>
            <w:tcW w:w="817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услуг путем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сертификатов физическим лицам</w:t>
            </w: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услуг организаций, в том числе социально ориентированных некоммерческих организаций и индивидуальных предпринимателей:</w:t>
            </w:r>
          </w:p>
          <w:p w:rsidR="00475763" w:rsidRPr="00F30408" w:rsidRDefault="00475763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по постоянному постороннему</w:t>
            </w:r>
          </w:p>
          <w:p w:rsidR="00475763" w:rsidRPr="00F30408" w:rsidRDefault="00475763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уходу за одинокими гражданами пожилого возраста и инвалидами;</w:t>
            </w:r>
          </w:p>
          <w:p w:rsidR="00475763" w:rsidRPr="00F30408" w:rsidRDefault="00475763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по уходу за одинокими тяжелобольными гражданами (услуги сиделки);</w:t>
            </w:r>
          </w:p>
          <w:p w:rsidR="00475763" w:rsidRPr="00F30408" w:rsidRDefault="00475763" w:rsidP="004757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страдающих 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  <w:vAlign w:val="center"/>
          </w:tcPr>
          <w:p w:rsidR="00475763" w:rsidRPr="00F30408" w:rsidRDefault="00475763" w:rsidP="0057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75763" w:rsidRPr="00F30408" w:rsidRDefault="00475763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63" w:rsidRPr="00F30408" w:rsidTr="006F0E15">
        <w:trPr>
          <w:trHeight w:val="114"/>
        </w:trPr>
        <w:tc>
          <w:tcPr>
            <w:tcW w:w="81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75763" w:rsidRPr="00F30408" w:rsidRDefault="00475763" w:rsidP="0047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568" w:rsidRPr="00F30408" w:rsidTr="00475763">
        <w:trPr>
          <w:trHeight w:val="277"/>
        </w:trPr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2568" w:rsidRPr="00F30408" w:rsidRDefault="003F2568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наркологическими заболеваниями;</w:t>
            </w:r>
          </w:p>
          <w:p w:rsidR="003F2568" w:rsidRPr="00F30408" w:rsidRDefault="003F2568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:rsidR="003F2568" w:rsidRPr="00F30408" w:rsidRDefault="003F2568" w:rsidP="0047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по оказанию помощи гражданам, пострадавшим от насилия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E45D59">
        <w:trPr>
          <w:trHeight w:val="358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0E1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организаций, в том числе социально ориентированных некоммерческих организаций, субъектов малого и среднего предпринимательства, в том числе индивидуальных </w:t>
            </w:r>
          </w:p>
          <w:p w:rsidR="003F2568" w:rsidRPr="00F30408" w:rsidRDefault="003F2568" w:rsidP="0001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3F2568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0E1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Анализ целевого использования государственных и муниципальных объектов недвижимого имущества с целью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неиспользуемых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назначению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3F2568">
        <w:trPr>
          <w:trHeight w:val="14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568" w:rsidRPr="00F30408" w:rsidTr="003F2568">
        <w:trPr>
          <w:trHeight w:val="5370"/>
        </w:trPr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социальной сферы, которые могут быть переданы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объектов недвижимого имущества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3F2568">
        <w:trPr>
          <w:trHeight w:val="98"/>
        </w:trPr>
        <w:tc>
          <w:tcPr>
            <w:tcW w:w="81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568" w:rsidRPr="00F30408" w:rsidTr="003F2568">
        <w:trPr>
          <w:trHeight w:val="162"/>
        </w:trPr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 в сфере</w:t>
            </w:r>
          </w:p>
          <w:p w:rsidR="003F2568" w:rsidRPr="00F30408" w:rsidRDefault="003F2568" w:rsidP="003F2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FD0B8F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Увеличение средств областного бюджета Орловской области, направляемых на оказание социальных услуг негосударственными организациями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584254" w:rsidRPr="00F30408" w:rsidTr="006F0E15">
        <w:trPr>
          <w:trHeight w:val="485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архитектурно-строительного проектирования Орловской области представлен множеством организаций, 100 % которых относятся к частному бизнесу</w:t>
            </w:r>
          </w:p>
        </w:tc>
      </w:tr>
      <w:tr w:rsidR="00F81A56" w:rsidRPr="00F30408" w:rsidTr="006F0E15">
        <w:tc>
          <w:tcPr>
            <w:tcW w:w="817" w:type="dxa"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81A56" w:rsidRPr="00F30408" w:rsidRDefault="00F81A56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предприятий, учреждений, хозяйственных обществ, осуществляющих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сфере архитектурно-строительного проектирования</w:t>
            </w:r>
          </w:p>
        </w:tc>
        <w:tc>
          <w:tcPr>
            <w:tcW w:w="2126" w:type="dxa"/>
            <w:vAlign w:val="center"/>
          </w:tcPr>
          <w:p w:rsidR="00F81A56" w:rsidRPr="00F30408" w:rsidRDefault="00F81A56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F81A56" w:rsidRPr="00F30408" w:rsidRDefault="00F81A56" w:rsidP="00791C63">
            <w:pPr>
              <w:spacing w:after="0" w:line="240" w:lineRule="auto"/>
              <w:rPr>
                <w:sz w:val="24"/>
                <w:szCs w:val="24"/>
              </w:rPr>
            </w:pPr>
            <w:r w:rsidRPr="00791C63">
              <w:rPr>
                <w:rFonts w:ascii="Times New Roman" w:hAnsi="Times New Roman"/>
                <w:sz w:val="24"/>
                <w:szCs w:val="24"/>
              </w:rPr>
              <w:t xml:space="preserve">Доля выручки организаций частной формы собственности, осуществляющих деятельность на рынке архитектурно-строительного </w:t>
            </w:r>
          </w:p>
          <w:p w:rsidR="00F81A56" w:rsidRPr="00F30408" w:rsidRDefault="00F81A56" w:rsidP="00214F99">
            <w:pPr>
              <w:pStyle w:val="ab"/>
              <w:rPr>
                <w:sz w:val="24"/>
                <w:szCs w:val="24"/>
              </w:rPr>
            </w:pPr>
            <w:r w:rsidRPr="00791C63">
              <w:rPr>
                <w:sz w:val="24"/>
                <w:szCs w:val="24"/>
              </w:rPr>
              <w:t>проектирования, в</w:t>
            </w:r>
            <w:r w:rsidRPr="00F30408">
              <w:rPr>
                <w:sz w:val="24"/>
                <w:szCs w:val="24"/>
              </w:rPr>
              <w:t xml:space="preserve"> общем объеме выручки всех хозяйствующих субъектов данного рынка, %</w:t>
            </w:r>
          </w:p>
        </w:tc>
        <w:tc>
          <w:tcPr>
            <w:tcW w:w="1446" w:type="dxa"/>
            <w:vMerge w:val="restart"/>
            <w:vAlign w:val="center"/>
          </w:tcPr>
          <w:p w:rsidR="00F81A56" w:rsidRPr="00F30408" w:rsidRDefault="00F81A56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F81A56" w:rsidRPr="00F30408" w:rsidRDefault="00F81A56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 архитектуры и землеустройства Орловской области</w:t>
            </w:r>
          </w:p>
        </w:tc>
      </w:tr>
      <w:tr w:rsidR="00F81A56" w:rsidRPr="00F30408" w:rsidTr="00791C63">
        <w:trPr>
          <w:trHeight w:val="114"/>
        </w:trPr>
        <w:tc>
          <w:tcPr>
            <w:tcW w:w="817" w:type="dxa"/>
            <w:vAlign w:val="center"/>
          </w:tcPr>
          <w:p w:rsidR="00F81A56" w:rsidRPr="00F30408" w:rsidRDefault="00F81A56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81A56" w:rsidRPr="00F30408" w:rsidRDefault="00F81A56" w:rsidP="00D3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Недопущение снижения значения ключевого показателя</w:t>
            </w:r>
          </w:p>
        </w:tc>
        <w:tc>
          <w:tcPr>
            <w:tcW w:w="2126" w:type="dxa"/>
            <w:vAlign w:val="center"/>
          </w:tcPr>
          <w:p w:rsidR="00F81A56" w:rsidRPr="00F30408" w:rsidRDefault="00F81A56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F81A56" w:rsidRPr="00F30408" w:rsidRDefault="00F81A56" w:rsidP="00214F9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81A56" w:rsidRPr="00F30408" w:rsidRDefault="00F81A56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3F2568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По данным территориального органа Федеральной службы государственной статистики по Орловской области</w:t>
            </w:r>
            <w:r w:rsidR="00214F99">
              <w:rPr>
                <w:sz w:val="24"/>
                <w:szCs w:val="24"/>
              </w:rPr>
              <w:t>,</w:t>
            </w:r>
            <w:r w:rsidRPr="00F30408">
              <w:rPr>
                <w:sz w:val="24"/>
                <w:szCs w:val="24"/>
              </w:rPr>
              <w:t xml:space="preserve"> на рынке жилищного строительства присутствует 921 хозяйствующий субъект, основная часть которых явля</w:t>
            </w:r>
            <w:r w:rsidR="00214F99">
              <w:rPr>
                <w:sz w:val="24"/>
                <w:szCs w:val="24"/>
              </w:rPr>
              <w:t>е</w:t>
            </w:r>
            <w:r w:rsidRPr="00F30408">
              <w:rPr>
                <w:sz w:val="24"/>
                <w:szCs w:val="24"/>
              </w:rPr>
              <w:t>тся частными организациями</w:t>
            </w:r>
            <w:r w:rsidR="00214F99">
              <w:rPr>
                <w:sz w:val="24"/>
                <w:szCs w:val="24"/>
              </w:rPr>
              <w:t>,</w:t>
            </w:r>
            <w:r w:rsidRPr="00F30408">
              <w:rPr>
                <w:sz w:val="24"/>
                <w:szCs w:val="24"/>
              </w:rPr>
              <w:t xml:space="preserve"> и только 3 организации имеют смешанную российскую и прочие формы собственности. Предприятия, доминирующие на данном рынке, отсутствуют. Наиболее крупным региональным застройщиком является ПАО «Орелстрой».</w:t>
            </w: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F256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568" w:rsidRPr="00F30408" w:rsidTr="00E45D59">
        <w:tc>
          <w:tcPr>
            <w:tcW w:w="15276" w:type="dxa"/>
            <w:gridSpan w:val="8"/>
            <w:vAlign w:val="center"/>
          </w:tcPr>
          <w:p w:rsidR="003F2568" w:rsidRPr="00F30408" w:rsidRDefault="003F2568" w:rsidP="003F256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2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2018 года ввод жилья в области составил 290,1 тыс. кв. м, что на 8 % выше уровня 2017 года</w:t>
            </w: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Ввод жилья, в том числе в многоквартирных жилых домах и индивидуальных жилых строениях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3F2568" w:rsidRPr="00F30408" w:rsidRDefault="003F2568" w:rsidP="0057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ввода жилья, тыс. кв. м</w:t>
            </w:r>
          </w:p>
        </w:tc>
        <w:tc>
          <w:tcPr>
            <w:tcW w:w="1446" w:type="dxa"/>
            <w:vMerge w:val="restart"/>
            <w:vAlign w:val="center"/>
          </w:tcPr>
          <w:p w:rsidR="003F2568" w:rsidRPr="00F30408" w:rsidRDefault="003F2568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60" w:type="dxa"/>
            <w:vMerge w:val="restart"/>
            <w:vAlign w:val="center"/>
          </w:tcPr>
          <w:p w:rsidR="003F2568" w:rsidRPr="00F30408" w:rsidRDefault="003F2568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347" w:type="dxa"/>
            <w:vMerge w:val="restart"/>
            <w:vAlign w:val="center"/>
          </w:tcPr>
          <w:p w:rsidR="003F2568" w:rsidRPr="00F30408" w:rsidRDefault="003F2568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  <w:vMerge w:val="restart"/>
            <w:vAlign w:val="center"/>
          </w:tcPr>
          <w:p w:rsidR="003F2568" w:rsidRPr="00F30408" w:rsidRDefault="003F2568" w:rsidP="0057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6F0E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99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в информационно-телекоммуникационной сети Интернет актуальных планов по созданию объектов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картографической основе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6F0E15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68" w:rsidRPr="00F30408" w:rsidTr="003F2568">
        <w:trPr>
          <w:trHeight w:val="130"/>
        </w:trPr>
        <w:tc>
          <w:tcPr>
            <w:tcW w:w="81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568" w:rsidRPr="00F30408" w:rsidTr="00FD0B8F">
        <w:tc>
          <w:tcPr>
            <w:tcW w:w="81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Реализация мероприятий по оптимизации закупки товаров, работ и услуг в сфере бюджетного строительства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568" w:rsidRPr="00F30408" w:rsidRDefault="003F2568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D32D83">
        <w:trPr>
          <w:trHeight w:val="425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</w:t>
            </w:r>
            <w:r w:rsidR="0090396A" w:rsidRPr="00F30408"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</w:tr>
      <w:tr w:rsidR="00584254" w:rsidRPr="00F30408" w:rsidTr="00D32D83">
        <w:trPr>
          <w:trHeight w:val="6087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По виду экономической деятельности «Строительство», по предварительным данным, в 2018 году объем выполненных работ составил 20,5 млрд рублей, что к уровню 2017 года составило 96,8 % в действующих ценах и 93,1 % в сопоставимых.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2018 году введены в строй: 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тепличные комбинаты (14,0 га);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зерносушилки стационарные (80,0 т/ч);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зерносеменохранилища</w:t>
            </w:r>
            <w:proofErr w:type="spellEnd"/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(14,0 тыс. т единовременного хранения);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линии электропередачи для электрификации сельского хозяйства (71,5 км – напряжением 0,4 кВ, 18,0 км – напряжением 6</w:t>
            </w:r>
            <w:r w:rsidR="00994A37">
              <w:rPr>
                <w:rFonts w:eastAsia="Calibri"/>
                <w:color w:val="auto"/>
                <w:sz w:val="24"/>
                <w:szCs w:val="24"/>
                <w:lang w:eastAsia="en-US"/>
              </w:rPr>
              <w:t>–</w:t>
            </w: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20 кВ);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мост через реку Сосна в городе Ливны (209,4 </w:t>
            </w:r>
            <w:proofErr w:type="spellStart"/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пог</w:t>
            </w:r>
            <w:proofErr w:type="spellEnd"/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. м);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нефтепроводы магистральные (1,0 км);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волоконно-оптические линии связи (3,0 км);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газовые сети (19,3 км, из них 18,4 км в сельской местности);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сети водоснабжения (32,6 км, из них 31,6 км в сельской местности);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пристройка к зданию МБОУ «Гимназия города Ливны» на 332 ученических места;</w:t>
            </w:r>
          </w:p>
          <w:p w:rsidR="00047D92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фельдшерско-акушерский пункт в с. Никольское Свердловского района (20 посещений в смену).</w:t>
            </w:r>
          </w:p>
          <w:p w:rsidR="003F2568" w:rsidRPr="00F30408" w:rsidRDefault="00047D92" w:rsidP="006D5DEF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Кроме того, в 2018 году начато строительство 2 детских садов в городе Орле и Орловском районе на 230 мест каждый; 8 фельдшерско-</w:t>
            </w:r>
          </w:p>
          <w:p w:rsidR="003F2568" w:rsidRPr="00F30408" w:rsidRDefault="003F2568" w:rsidP="005B187A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акушерских пунктов; 12 спортивных площадок в районах области.</w:t>
            </w:r>
          </w:p>
          <w:p w:rsidR="003F2568" w:rsidRPr="00F30408" w:rsidRDefault="003F2568" w:rsidP="005B187A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Результатом реализации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постановления </w:t>
            </w: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Правительства Орловской области от 31 августа 2017 года № 372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</w:t>
            </w:r>
            <w:r w:rsidRPr="00BD21B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 утверждении государственной программы Орловской области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</w:t>
            </w:r>
            <w:r w:rsidRPr="00BD21BD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современной городской среды на территории Орловской области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» </w:t>
            </w: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по итогам 2018 года стало благоустройство 30 общественных территорий (парков, скверов, пешеходных зон) и обустройство 175 дворовых территорий.</w:t>
            </w:r>
          </w:p>
          <w:p w:rsidR="003F2568" w:rsidRPr="00F30408" w:rsidRDefault="003F2568" w:rsidP="005B187A">
            <w:pPr>
              <w:pStyle w:val="ab"/>
              <w:ind w:firstLine="709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Объем освоенных средств межведомственной инвестиционной программы «Развитие и укрепление социальной и инженерной инфраструктуры Орловской области на 2018 год» составил 1896 млн рублей.</w:t>
            </w:r>
          </w:p>
          <w:p w:rsidR="006D5DEF" w:rsidRPr="00F30408" w:rsidRDefault="003F2568" w:rsidP="005B187A">
            <w:pPr>
              <w:pStyle w:val="ab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F3040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Предприятия, доминирующие на данном рынке, отсутствуют</w:t>
            </w:r>
          </w:p>
        </w:tc>
      </w:tr>
      <w:tr w:rsidR="00584254" w:rsidRPr="00F30408" w:rsidTr="005B187A">
        <w:trPr>
          <w:trHeight w:val="1319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Ввод жилья, в том числе в многоквартирных жилых домах и индивидуальных жилых строениях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584254" w:rsidRPr="00F30408" w:rsidRDefault="00994A37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ввода жилья, тыс. кв. м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строительства, топливно-энергетического</w:t>
            </w:r>
          </w:p>
        </w:tc>
      </w:tr>
      <w:tr w:rsidR="003F2568" w:rsidRPr="00F30408" w:rsidTr="003F2568">
        <w:trPr>
          <w:trHeight w:val="195"/>
        </w:trPr>
        <w:tc>
          <w:tcPr>
            <w:tcW w:w="81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F256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F2568" w:rsidRPr="00F30408" w:rsidRDefault="003F2568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5FB1" w:rsidRPr="00F30408" w:rsidTr="003F2568">
        <w:trPr>
          <w:trHeight w:val="2677"/>
        </w:trPr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E85FB1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85FB1" w:rsidRPr="00F30408" w:rsidRDefault="00E85FB1" w:rsidP="003F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комплекса, жилищно-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оммунального хозяйства, транспорта и дорожного хозяйства Орловской области</w:t>
            </w:r>
          </w:p>
        </w:tc>
      </w:tr>
      <w:tr w:rsidR="00E85FB1" w:rsidRPr="00F30408" w:rsidTr="005B187A">
        <w:trPr>
          <w:trHeight w:val="2401"/>
        </w:trPr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9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опубликования и актуализации в информационно-телекоммуникационной сети Интернет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земель в пределах муниципального образования «Город Орёл» составляет 12121 га, в том числе площадь застроенных земель — 5243 га, площадь зеленых массивов и насаждений общего пользования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196 га, водных объектов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155 га.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Город Ор</w:t>
            </w:r>
            <w:r w:rsidR="00994A37">
              <w:rPr>
                <w:rFonts w:ascii="Times New Roman" w:hAnsi="Times New Roman"/>
                <w:sz w:val="24"/>
                <w:szCs w:val="24"/>
              </w:rPr>
              <w:t>ё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л имеет улично-дорожную сеть протяженностью 459 км, в том числе с усовершенствованным покрытием 303 км.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На территории города 50 скверов, 24 моста. На улицах города имеется 337 остановок.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Протяженность сетей наружного освещения составляет 466,527 км. На 8131 опоре установлено 11658 светильников.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Для организации дорожного движения в городе Орле установлены 171 светофор и 8050 дорожных знаков.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Основными организациями, занимающимися вопросами благоустройства города, являются: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МУП «Спецавтобаза</w:t>
            </w:r>
            <w:r w:rsidR="00994A37">
              <w:rPr>
                <w:rFonts w:ascii="Times New Roman" w:hAnsi="Times New Roman"/>
                <w:sz w:val="24"/>
                <w:szCs w:val="24"/>
              </w:rPr>
              <w:t xml:space="preserve"> по санитарной очистке города» –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осуществляет санитарную уборку улично-дорожной сети, скверов, мостов, путепроводов города;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МУП города Орла «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Зеленстрой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выполняет озеленение, цветочное оформление города, снос аварийных деревьев;</w:t>
            </w:r>
          </w:p>
          <w:p w:rsidR="008C24E4" w:rsidRPr="00F30408" w:rsidRDefault="008C24E4" w:rsidP="008C2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 АО «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Орелоблэнерго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осуществляет содержание и контроль за уличным освещением.</w:t>
            </w:r>
          </w:p>
          <w:p w:rsidR="008C24E4" w:rsidRPr="00F30408" w:rsidRDefault="00584254" w:rsidP="004A0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благоустройства дворовых и общественных территорий в 2019 году представлен 47 организациями, 46 из которых являются частными</w:t>
            </w:r>
          </w:p>
        </w:tc>
      </w:tr>
      <w:tr w:rsidR="00E85FB1" w:rsidRPr="00F30408" w:rsidTr="00E85FB1">
        <w:trPr>
          <w:trHeight w:val="1768"/>
        </w:trPr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5B187A">
            <w:pPr>
              <w:pStyle w:val="ab"/>
              <w:rPr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  <w:lang w:eastAsia="en-US"/>
              </w:rPr>
              <w:t>Применение конкурентных способов при размещении муниципальных заказов на выполнение работ по</w:t>
            </w:r>
            <w:r w:rsidRPr="00F30408">
              <w:rPr>
                <w:color w:val="auto"/>
                <w:sz w:val="24"/>
                <w:szCs w:val="24"/>
              </w:rPr>
              <w:t xml:space="preserve"> благоустройству городской</w:t>
            </w:r>
            <w:r>
              <w:rPr>
                <w:color w:val="auto"/>
                <w:sz w:val="24"/>
                <w:szCs w:val="24"/>
              </w:rPr>
              <w:t xml:space="preserve"> среды</w:t>
            </w:r>
            <w:r w:rsidRPr="00F3040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бизнеса, %</w:t>
            </w:r>
          </w:p>
        </w:tc>
        <w:tc>
          <w:tcPr>
            <w:tcW w:w="144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60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vAlign w:val="center"/>
          </w:tcPr>
          <w:p w:rsidR="00E85FB1" w:rsidRPr="004E28D5" w:rsidRDefault="00E85FB1" w:rsidP="005B1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D5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</w:t>
            </w:r>
          </w:p>
          <w:p w:rsidR="00E85FB1" w:rsidRPr="004E28D5" w:rsidRDefault="00E85FB1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D5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дорожного хозяйства Орловской области, органы местного самоуправления </w:t>
            </w:r>
            <w:r w:rsidR="00951AB9" w:rsidRPr="004E28D5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Орловской </w:t>
            </w:r>
          </w:p>
        </w:tc>
      </w:tr>
      <w:tr w:rsidR="00E85FB1" w:rsidRPr="00F30408" w:rsidTr="00E85FB1">
        <w:trPr>
          <w:trHeight w:val="1806"/>
        </w:trPr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городской среды, %</w:t>
            </w:r>
          </w:p>
        </w:tc>
        <w:tc>
          <w:tcPr>
            <w:tcW w:w="1446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47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Merge/>
            <w:vAlign w:val="center"/>
          </w:tcPr>
          <w:p w:rsidR="00E85FB1" w:rsidRPr="004E28D5" w:rsidRDefault="00E85FB1" w:rsidP="0099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4E28D5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85FB1" w:rsidRPr="004E28D5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28D5" w:rsidRPr="00F30408" w:rsidTr="006F0E15">
        <w:tc>
          <w:tcPr>
            <w:tcW w:w="817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8D5" w:rsidRPr="004E28D5" w:rsidRDefault="004E28D5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D5">
              <w:rPr>
                <w:rFonts w:ascii="Times New Roman" w:hAnsi="Times New Roman"/>
                <w:sz w:val="24"/>
                <w:szCs w:val="24"/>
              </w:rPr>
              <w:t>области (по согласованию)</w:t>
            </w:r>
          </w:p>
        </w:tc>
      </w:tr>
      <w:tr w:rsidR="00584254" w:rsidRPr="00F30408" w:rsidTr="004E28D5">
        <w:trPr>
          <w:trHeight w:val="417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584254" w:rsidRPr="00F30408" w:rsidTr="00B568EE">
        <w:trPr>
          <w:trHeight w:val="2668"/>
        </w:trPr>
        <w:tc>
          <w:tcPr>
            <w:tcW w:w="15276" w:type="dxa"/>
            <w:gridSpan w:val="8"/>
          </w:tcPr>
          <w:p w:rsidR="003F67A1" w:rsidRPr="00F30408" w:rsidRDefault="003F67A1" w:rsidP="003F67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 в Орловской области образуется более 3 миллионов тонн тв</w:t>
            </w:r>
            <w:r w:rsidR="00994A37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рдых коммунальных отходов.</w:t>
            </w:r>
          </w:p>
          <w:p w:rsidR="003F67A1" w:rsidRPr="00F30408" w:rsidRDefault="003F67A1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транспортировани</w:t>
            </w:r>
            <w:r w:rsidR="00994A37">
              <w:rPr>
                <w:rFonts w:ascii="Times New Roman" w:hAnsi="Times New Roman"/>
                <w:sz w:val="24"/>
                <w:szCs w:val="24"/>
              </w:rPr>
              <w:t>я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твердых коммунальных отходов в 2019 году представлен 8 юридическими лицами, 5 из которых являются частными.</w:t>
            </w:r>
          </w:p>
          <w:p w:rsidR="003F67A1" w:rsidRPr="00F30408" w:rsidRDefault="003F67A1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 результатам конкурсного отбора, проведенного в соответствии с действующим законодательством, региональным оператором по обращению с твердыми коммунальными отходами в Орловской области стало ООО «УК «Зеленая роща». С 2019 года предприятие осуществляет деятельность по сбору, транспортированию, обработке, утилизации, обезв</w:t>
            </w:r>
            <w:r w:rsidR="00994A37">
              <w:rPr>
                <w:rFonts w:ascii="Times New Roman" w:hAnsi="Times New Roman"/>
                <w:sz w:val="24"/>
                <w:szCs w:val="24"/>
              </w:rPr>
              <w:t>реживанию, размещению отходов I–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IV классов опасности. </w:t>
            </w:r>
          </w:p>
          <w:p w:rsidR="00584254" w:rsidRPr="00F30408" w:rsidRDefault="003F67A1" w:rsidP="003F67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ООО «УК «Зеленая роща» учреждена АО «Корпорация развития Орловской области» и является компанией с государственным участием. Ожидается, что данный факт положительно скажется на выполнении обязательств перед гражданами</w:t>
            </w:r>
          </w:p>
        </w:tc>
      </w:tr>
      <w:tr w:rsidR="00B568EE" w:rsidRPr="00F30408" w:rsidTr="004E28D5">
        <w:trPr>
          <w:trHeight w:val="1693"/>
        </w:trPr>
        <w:tc>
          <w:tcPr>
            <w:tcW w:w="817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Привлечение на конкурсной основе операторов по транспортированию твердых коммунальных отходов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бизнеса, %</w:t>
            </w:r>
          </w:p>
        </w:tc>
        <w:tc>
          <w:tcPr>
            <w:tcW w:w="1446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47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  <w:vAlign w:val="center"/>
          </w:tcPr>
          <w:p w:rsidR="00B568EE" w:rsidRPr="00F30408" w:rsidRDefault="00B568EE" w:rsidP="0065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транспорта и дорожного </w:t>
            </w:r>
          </w:p>
          <w:p w:rsidR="00B568EE" w:rsidRPr="00F30408" w:rsidRDefault="00B568EE" w:rsidP="0065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хозяйства 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B568EE" w:rsidRPr="00F30408" w:rsidTr="004E28D5">
        <w:trPr>
          <w:trHeight w:val="227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568EE" w:rsidRPr="00F30408" w:rsidRDefault="00B568EE" w:rsidP="00E8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Корректировка Территориальной схемы обращения с отходами, в том числе с твердыми коммунальными отходами, на территории Орловской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2020–</w:t>
            </w:r>
          </w:p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2552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568EE" w:rsidRPr="00F30408" w:rsidRDefault="00B568EE" w:rsidP="0065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EE" w:rsidRPr="00F30408" w:rsidTr="00E85FB1">
        <w:trPr>
          <w:trHeight w:val="1131"/>
        </w:trPr>
        <w:tc>
          <w:tcPr>
            <w:tcW w:w="817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деятельности участников рынка твердых коммунальных отходов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2020–</w:t>
            </w:r>
          </w:p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2552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EE" w:rsidRPr="00F30408" w:rsidTr="00B568EE">
        <w:trPr>
          <w:trHeight w:val="277"/>
        </w:trPr>
        <w:tc>
          <w:tcPr>
            <w:tcW w:w="81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584254" w:rsidRPr="00F30408" w:rsidTr="00E85FB1">
        <w:trPr>
          <w:trHeight w:val="1553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территории Орловской области услуги по теплоснабжению оказывают 49 организаций. В городе Орле подачу тепла осуществляют: филиал ПАО «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», ООО «Газпром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Орел» и ООО «ТСК Орел». В городских округах Мценск, Ливны в сфере теплоснабжения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функционировает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филиал ООО «Газпром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Орел». На территории остальных городских и сельских поселений теплоснабжение обеспечива</w:t>
            </w:r>
            <w:r w:rsidR="00994A37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предприятия, определенные схемами теплоснабжения как единые теплоснабжающие организации.</w:t>
            </w:r>
          </w:p>
          <w:p w:rsidR="00584254" w:rsidRPr="00F30408" w:rsidRDefault="00584254" w:rsidP="00994A37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Всего на территории региона 4476 МКД с централизованной системой отопления, 264 дошкольных учреждения, 374 школы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и 524 объекта здравоохранения. Количество котельных – 1214. Отопительный период проходит в штатном режиме</w:t>
            </w:r>
          </w:p>
        </w:tc>
      </w:tr>
      <w:tr w:rsidR="00584254" w:rsidRPr="00F30408" w:rsidTr="006559B9">
        <w:trPr>
          <w:trHeight w:val="3820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в сфере теплоснабжения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полезного отпуска тепловой энергии, реализуемой государственными и муниципальными унитарными предприятиями, в общем объеме таких ресурсов, %</w:t>
            </w:r>
          </w:p>
        </w:tc>
        <w:tc>
          <w:tcPr>
            <w:tcW w:w="144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34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  <w:tr w:rsidR="00584254" w:rsidRPr="00F30408" w:rsidTr="006559B9">
        <w:trPr>
          <w:trHeight w:val="416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Орловской области</w:t>
            </w:r>
          </w:p>
        </w:tc>
      </w:tr>
      <w:tr w:rsidR="00584254" w:rsidRPr="00F30408" w:rsidTr="00E85FB1">
        <w:trPr>
          <w:trHeight w:val="554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по перевозке пассажиров и багажа легковым такси в Орловской области представлен множеством организаций частной формы собственности, доля которых на рынке составляет 100 %</w:t>
            </w:r>
          </w:p>
        </w:tc>
      </w:tr>
      <w:tr w:rsidR="00584254" w:rsidRPr="00F30408" w:rsidTr="006F0E15">
        <w:trPr>
          <w:trHeight w:val="1104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Мониторинг ситуации на рынке услуг по перевозке пассажиров и багажа легковым такси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84254" w:rsidRPr="00F30408" w:rsidRDefault="00584254" w:rsidP="00B5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количества хозяйствующих субъектов на рынке услуг по перевозке пассажиров и багажа легковым такси, относящихся к частным </w:t>
            </w:r>
          </w:p>
        </w:tc>
        <w:tc>
          <w:tcPr>
            <w:tcW w:w="144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</w:t>
            </w:r>
          </w:p>
        </w:tc>
      </w:tr>
      <w:tr w:rsidR="00584254" w:rsidRPr="00F30408" w:rsidTr="006F0E15"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Недопущение снижения значения целевого показателя развития конкуренции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68EE" w:rsidRPr="00F30408" w:rsidTr="00E45D59">
        <w:tc>
          <w:tcPr>
            <w:tcW w:w="817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EE" w:rsidRDefault="00B568EE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организациям, в количестве всех хозяйствующих субъектов, осуществляющих деятельность на данном рынке, %</w:t>
            </w:r>
          </w:p>
        </w:tc>
        <w:tc>
          <w:tcPr>
            <w:tcW w:w="1446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8EE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транспорта и дорожного хозяйства Орловской области</w:t>
            </w:r>
          </w:p>
        </w:tc>
      </w:tr>
      <w:tr w:rsidR="00584254" w:rsidRPr="00F30408" w:rsidTr="006559B9">
        <w:trPr>
          <w:trHeight w:val="368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84254" w:rsidRPr="00F30408" w:rsidTr="00E85FB1">
        <w:trPr>
          <w:trHeight w:val="755"/>
        </w:trPr>
        <w:tc>
          <w:tcPr>
            <w:tcW w:w="15276" w:type="dxa"/>
            <w:gridSpan w:val="8"/>
          </w:tcPr>
          <w:p w:rsidR="00584254" w:rsidRPr="00F30408" w:rsidRDefault="00584254" w:rsidP="00994A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Рассматриваемый рынок в Орловской области представлен субъектами частного бизнеса и одним МУП города Орла «Трамвайно-троллейбусное предприятие». Число муниципальных маршрутов, на которых услуги оказывают субъекты частного бизнеса</w:t>
            </w:r>
            <w:r w:rsidR="00994A37"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составляет 38. Число троллейбусных маршрутов 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«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Трамвайно-троллейбусного предприятия</w:t>
            </w:r>
            <w:r w:rsidR="00994A37">
              <w:rPr>
                <w:rFonts w:ascii="Times New Roman" w:hAnsi="Times New Roman"/>
                <w:sz w:val="24"/>
                <w:szCs w:val="24"/>
              </w:rPr>
              <w:t>»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– 6   </w:t>
            </w: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бизнеса, %</w:t>
            </w:r>
          </w:p>
        </w:tc>
        <w:tc>
          <w:tcPr>
            <w:tcW w:w="1446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60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47" w:type="dxa"/>
            <w:vMerge w:val="restart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Merge w:val="restart"/>
            <w:vAlign w:val="center"/>
          </w:tcPr>
          <w:p w:rsidR="00E85FB1" w:rsidRPr="00F30408" w:rsidRDefault="00E85FB1" w:rsidP="0065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транспорта и дорожного хозяйства Орловской </w:t>
            </w:r>
          </w:p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E85FB1" w:rsidRPr="00F30408" w:rsidTr="00E85FB1">
        <w:trPr>
          <w:trHeight w:val="16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FB1" w:rsidRPr="00F30408" w:rsidRDefault="00E85FB1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29782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6F0E15">
        <w:tc>
          <w:tcPr>
            <w:tcW w:w="817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B5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критериях конкурсного отбора перевозчиков в открытом 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FB1" w:rsidRPr="00F30408" w:rsidRDefault="00E85FB1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B1" w:rsidRPr="00F30408" w:rsidTr="00E85FB1">
        <w:trPr>
          <w:trHeight w:val="114"/>
        </w:trPr>
        <w:tc>
          <w:tcPr>
            <w:tcW w:w="81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85FB1" w:rsidRPr="00F30408" w:rsidRDefault="00E85FB1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68EE" w:rsidRPr="00F30408" w:rsidTr="00B568EE">
        <w:trPr>
          <w:trHeight w:val="2110"/>
        </w:trPr>
        <w:tc>
          <w:tcPr>
            <w:tcW w:w="817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68EE" w:rsidRDefault="00B568EE" w:rsidP="00B5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126" w:type="dxa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568EE" w:rsidRDefault="00B568EE" w:rsidP="00E8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EE" w:rsidRPr="00F30408" w:rsidTr="00B568EE">
        <w:trPr>
          <w:trHeight w:val="1545"/>
        </w:trPr>
        <w:tc>
          <w:tcPr>
            <w:tcW w:w="817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EE" w:rsidRPr="00F30408" w:rsidTr="00B568EE">
        <w:trPr>
          <w:trHeight w:val="1552"/>
        </w:trPr>
        <w:tc>
          <w:tcPr>
            <w:tcW w:w="817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B568EE">
        <w:trPr>
          <w:trHeight w:val="412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584254" w:rsidRPr="00F30408" w:rsidTr="006F0E15">
        <w:tc>
          <w:tcPr>
            <w:tcW w:w="15276" w:type="dxa"/>
            <w:gridSpan w:val="8"/>
          </w:tcPr>
          <w:p w:rsidR="00584254" w:rsidRPr="00F30408" w:rsidRDefault="00584254" w:rsidP="00851B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Рассматриваемый рынок Орловской области представлен 14 хозяйствующими субъектами,  из кот</w:t>
            </w:r>
            <w:r w:rsidR="00994A37">
              <w:rPr>
                <w:rFonts w:ascii="Times New Roman" w:hAnsi="Times New Roman"/>
                <w:sz w:val="24"/>
                <w:szCs w:val="24"/>
              </w:rPr>
              <w:t>орых 13 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субъекты частного бизнеса </w:t>
            </w:r>
            <w:r w:rsidR="00994A37">
              <w:rPr>
                <w:rFonts w:ascii="Times New Roman" w:hAnsi="Times New Roman"/>
                <w:sz w:val="24"/>
                <w:szCs w:val="24"/>
              </w:rPr>
              <w:br/>
            </w:r>
            <w:r w:rsidRPr="00F30408">
              <w:rPr>
                <w:rFonts w:ascii="Times New Roman" w:hAnsi="Times New Roman"/>
                <w:sz w:val="24"/>
                <w:szCs w:val="24"/>
              </w:rPr>
              <w:t>и 1</w:t>
            </w:r>
            <w:r w:rsidR="00994A3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МУП Покровского района «Пассажирские автопере</w:t>
            </w:r>
            <w:r w:rsidR="00851B4F">
              <w:rPr>
                <w:rFonts w:ascii="Times New Roman" w:hAnsi="Times New Roman"/>
                <w:sz w:val="24"/>
                <w:szCs w:val="24"/>
              </w:rPr>
              <w:t>в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озки». Общее количество обслуживаемых межмуниципальных маршрутов составляет 156, из которых 153 маршрута обслуживаются частным бизнесом и только 3 муниципальным предприятием. Конкуренция на рынке </w:t>
            </w:r>
            <w:r w:rsidR="00994A37">
              <w:rPr>
                <w:rFonts w:ascii="Times New Roman" w:hAnsi="Times New Roman"/>
                <w:sz w:val="24"/>
                <w:szCs w:val="24"/>
              </w:rPr>
              <w:t>находится на высоком уровне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410" w:rsidRPr="00F30408" w:rsidTr="006F0E15">
        <w:tc>
          <w:tcPr>
            <w:tcW w:w="817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4410" w:rsidRPr="00F30408" w:rsidRDefault="00B9441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открытых конкурсов на право осуществления перевозок по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2126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бизнеса, %</w:t>
            </w:r>
          </w:p>
        </w:tc>
        <w:tc>
          <w:tcPr>
            <w:tcW w:w="1446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60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47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center"/>
          </w:tcPr>
          <w:p w:rsidR="00B94410" w:rsidRPr="00F30408" w:rsidRDefault="00B94410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топливно-энергетического комплекса, жилищно-коммунального хозяйства, </w:t>
            </w:r>
          </w:p>
        </w:tc>
      </w:tr>
      <w:tr w:rsidR="00B568EE" w:rsidRPr="00F30408" w:rsidTr="00B568EE">
        <w:trPr>
          <w:trHeight w:val="130"/>
        </w:trPr>
        <w:tc>
          <w:tcPr>
            <w:tcW w:w="81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B568EE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68EE" w:rsidRPr="00F30408" w:rsidTr="009E4540">
        <w:trPr>
          <w:trHeight w:val="2394"/>
        </w:trPr>
        <w:tc>
          <w:tcPr>
            <w:tcW w:w="817" w:type="dxa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9E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6F0E15">
            <w:pPr>
              <w:pStyle w:val="ab"/>
              <w:jc w:val="center"/>
              <w:rPr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568EE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B568EE" w:rsidRPr="00F30408" w:rsidRDefault="00B568EE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транспорта и дорожного хозяйства Орловской области</w:t>
            </w:r>
          </w:p>
        </w:tc>
      </w:tr>
      <w:tr w:rsidR="00B94410" w:rsidRPr="00F30408" w:rsidTr="009E4540">
        <w:trPr>
          <w:trHeight w:val="3263"/>
        </w:trPr>
        <w:tc>
          <w:tcPr>
            <w:tcW w:w="817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94410" w:rsidRPr="00F30408" w:rsidRDefault="00B94410" w:rsidP="009E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126" w:type="dxa"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F30408" w:rsidTr="009E4540">
        <w:trPr>
          <w:trHeight w:val="323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9E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  планирования регулярных   автоперевозок пассажиров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маршрутам с   учетом полученной в ходе анализа информации.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 наличия такого документа</w:t>
            </w: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10" w:rsidRPr="00F30408" w:rsidRDefault="00B94410" w:rsidP="009E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94410" w:rsidRPr="00F30408" w:rsidRDefault="00B9441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9E4540">
        <w:trPr>
          <w:trHeight w:val="27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540" w:rsidRPr="00F30408" w:rsidRDefault="009E4540" w:rsidP="009E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254" w:rsidRPr="00F30408" w:rsidTr="009E4540">
        <w:trPr>
          <w:trHeight w:val="409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584254" w:rsidRPr="00F30408" w:rsidTr="00B568EE">
        <w:trPr>
          <w:trHeight w:val="989"/>
        </w:trPr>
        <w:tc>
          <w:tcPr>
            <w:tcW w:w="15276" w:type="dxa"/>
            <w:gridSpan w:val="8"/>
          </w:tcPr>
          <w:p w:rsidR="00584254" w:rsidRPr="00F30408" w:rsidRDefault="00584254" w:rsidP="00994A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территории Орловской области на рынке кадастровых и землеустроительных работ осуществляют свою деятельность организации с частной формой собственности, а также хозяйствующие субъекты, доля Орловской области или муниципального образования Орловской области в которых составляет более 50 %: БУ О</w:t>
            </w:r>
            <w:r w:rsidR="00994A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«Межрегиональное БТИ» и МУП Орловского района «Архитектурно-планировочное бюро»</w:t>
            </w:r>
          </w:p>
        </w:tc>
      </w:tr>
      <w:tr w:rsidR="00584254" w:rsidRPr="00F30408" w:rsidTr="009E4540">
        <w:trPr>
          <w:trHeight w:val="1960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4254" w:rsidRPr="00F30408" w:rsidRDefault="00E71AC9" w:rsidP="00E7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Приватизация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 xml:space="preserve"> предприятий, осуществляющих деятельность </w:t>
            </w:r>
            <w:r w:rsidR="00994A3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84254" w:rsidRPr="00F30408">
              <w:rPr>
                <w:rFonts w:ascii="Times New Roman" w:hAnsi="Times New Roman"/>
                <w:sz w:val="24"/>
                <w:szCs w:val="24"/>
              </w:rPr>
              <w:t>сфере кадастровых и землеустроительных работ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результатам ежегодного анализа рынка</w:t>
            </w:r>
          </w:p>
        </w:tc>
        <w:tc>
          <w:tcPr>
            <w:tcW w:w="2552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субъектов частного бизнеса на рынке, %</w:t>
            </w:r>
          </w:p>
        </w:tc>
        <w:tc>
          <w:tcPr>
            <w:tcW w:w="144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0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7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Merge w:val="restart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государственного имущества и земельных отношений Орловской области</w:t>
            </w:r>
          </w:p>
        </w:tc>
      </w:tr>
      <w:tr w:rsidR="00584254" w:rsidRPr="00F30408" w:rsidTr="009E4540">
        <w:trPr>
          <w:trHeight w:val="3972"/>
        </w:trPr>
        <w:tc>
          <w:tcPr>
            <w:tcW w:w="817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84254" w:rsidRPr="00F30408" w:rsidRDefault="00584254" w:rsidP="009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994A37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</w:t>
            </w:r>
            <w:r w:rsidR="00994A37">
              <w:rPr>
                <w:rFonts w:ascii="Times New Roman" w:hAnsi="Times New Roman"/>
                <w:sz w:val="24"/>
                <w:szCs w:val="24"/>
              </w:rPr>
              <w:br/>
            </w:r>
            <w:r w:rsidRPr="00F30408">
              <w:rPr>
                <w:rFonts w:ascii="Times New Roman" w:hAnsi="Times New Roman"/>
                <w:sz w:val="24"/>
                <w:szCs w:val="24"/>
              </w:rPr>
              <w:t>50</w:t>
            </w:r>
            <w:r w:rsidR="0099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54" w:rsidRPr="00F30408" w:rsidTr="00B568EE">
        <w:trPr>
          <w:trHeight w:val="410"/>
        </w:trPr>
        <w:tc>
          <w:tcPr>
            <w:tcW w:w="15276" w:type="dxa"/>
            <w:gridSpan w:val="8"/>
          </w:tcPr>
          <w:p w:rsidR="00584254" w:rsidRPr="00F30408" w:rsidRDefault="00584254" w:rsidP="006F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Сфера наружной рекламы</w:t>
            </w:r>
          </w:p>
        </w:tc>
      </w:tr>
      <w:tr w:rsidR="00584254" w:rsidRPr="00F30408" w:rsidTr="009E4540">
        <w:trPr>
          <w:trHeight w:val="1129"/>
        </w:trPr>
        <w:tc>
          <w:tcPr>
            <w:tcW w:w="15276" w:type="dxa"/>
            <w:gridSpan w:val="8"/>
          </w:tcPr>
          <w:p w:rsidR="006559B9" w:rsidRPr="00F30408" w:rsidRDefault="00584254" w:rsidP="00655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территории Орловской области предприятия, подведомственные органам государственной власти, органам местного самоуправления, которые осуществляют свою деятельность в сфере наружной рекламы, отсутствуют. Доля организаций частной формы собственности в сфере наружной рекламы в регионе составляет 100 %</w:t>
            </w:r>
          </w:p>
        </w:tc>
      </w:tr>
      <w:tr w:rsidR="00B568EE" w:rsidRPr="00F30408" w:rsidTr="00B568EE">
        <w:trPr>
          <w:trHeight w:val="114"/>
        </w:trPr>
        <w:tc>
          <w:tcPr>
            <w:tcW w:w="81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68EE" w:rsidRPr="00F30408" w:rsidRDefault="00B568EE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E45D59">
        <w:trPr>
          <w:trHeight w:val="828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4F7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присутствия субъектов частного бизнеса на рынке,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4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4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4F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государственного имущества и земельных </w:t>
            </w:r>
          </w:p>
          <w:p w:rsidR="009E4540" w:rsidRPr="00F30408" w:rsidRDefault="009E4540" w:rsidP="009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отношений Орловской области, органы местного </w:t>
            </w:r>
          </w:p>
          <w:p w:rsidR="009E4540" w:rsidRDefault="009E4540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</w:p>
          <w:p w:rsidR="009E4540" w:rsidRPr="00F30408" w:rsidRDefault="009E4540" w:rsidP="00B5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муниципальных образований Орловской области (по согласованию)</w:t>
            </w:r>
          </w:p>
        </w:tc>
      </w:tr>
      <w:tr w:rsidR="009E4540" w:rsidRPr="00F30408" w:rsidTr="009E4540">
        <w:trPr>
          <w:trHeight w:val="198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органов местного самоуправления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9E4540">
        <w:trPr>
          <w:trHeight w:val="2021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9E4540">
        <w:trPr>
          <w:trHeight w:val="3197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Разработка и выдача рекомендаций органам власти и местного самоуправления на основе предложений,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B5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Недопущение снижени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ключевого показателя развития конкуренции на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4540" w:rsidRPr="00F30408" w:rsidRDefault="009E4540" w:rsidP="003C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рынке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  Орловской области представлен множеством хозяйствующих субъектов, доля частных организаций из которых составляет 100 %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Мониторинг состояния конкурентной среды на рынке услуг по ремонту автотранспортных средств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хозяйствующих субъектов на рынке ремонта автотранспортных средств, относящихся к частным организациям, в количестве всех хозяйствующих субъектов,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56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3C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Недопущение снижени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ключевого показателя на рынке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335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Орловской области расположено 788 объектов розничной торговли лекарственными препаратами, в том числе из которых – 348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 44,2 %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частные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440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55,8 %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государственной формы собственности. В льготном лекарственном обеспечении принимает участие 37 пунктов лекарственного отпуска.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сведениям </w:t>
            </w:r>
            <w:r w:rsidRPr="00F304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Федеральной службы по надзору в сфере здравоохранения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первом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 2019 года розничные цены на лекарственные препараты увеличились на 3,3 % по сравнению с информацией по итогам 2018 года.</w:t>
            </w:r>
          </w:p>
          <w:p w:rsidR="009E4540" w:rsidRPr="00F30408" w:rsidRDefault="009E4540" w:rsidP="00F81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применяемых надбавок к фактическим ценам производителей на жизненно необходимые и важнейшие лекарственные препараты в соответствии с приказом Управления по тарифам Орловской области от 18 февраля 2010 года № 88-Т «Об утверждении предельных размеров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розничных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надбавок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фактическим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отпускным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производителей на лекарственные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включенные в Перечень жизненно необходимых и важнейших лекарственных препаратов, утвержденный распоряжением Правительства Российской Федерации от 10 декабря 2018 года № 2738-р» составляет в зависимости от величины фактической отпускной цены производителя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препараты от 10 % до 20 %.</w:t>
            </w:r>
          </w:p>
        </w:tc>
      </w:tr>
      <w:tr w:rsidR="009E4540" w:rsidRPr="00F30408" w:rsidTr="006F0E15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D34186">
        <w:trPr>
          <w:trHeight w:val="114"/>
        </w:trPr>
        <w:tc>
          <w:tcPr>
            <w:tcW w:w="15276" w:type="dxa"/>
            <w:gridSpan w:val="8"/>
            <w:vAlign w:val="center"/>
          </w:tcPr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конкурентной среды на данном рынке оценивается как  умеренное.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аптечных организаций в регионе удовлетворяет потребность населения. Отмечается тенденция прекращения деятельности мелких аптечных сетей и отдельных участников рынка из-за нерентабельности, убыточности, невозможности конкурирования с крупными частными аптечными сетями. 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Аптечная сеть ГУП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Орелфармация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»  ориентирована на выполнение социальной нагрузки по обеспечению льготной категории населения лекарственными препаратами, а также обеспечению наркотическими средствами, психотропными веществами, лекарственными препаратами, находящимися на предметно-количественном учете, не представляя конкуренцию для частного бизнеса.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Также для обеспечения льготной категории граждан прив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ечены муниципальные аптечные организации и 5 обществ с ограниченной ответственностью в отдельных районах Орловской области.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Цены на лекарственные препараты, включенные в Перечень жизненно необходимых и важнейших лекарственных препаратов, подлежат государственному регулированию путем ограничения наценки и осуществления государственного контроля за применением торговых надбавок.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помощь субъектам предпринимательства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сфере торговли лекарственными препаратами по вопросам лицензирования фармацевтической деятельности обеспечивается ответственным исполнителем посредством размещения соответствующих сведений на официальном сайте государственного органа.</w:t>
            </w:r>
          </w:p>
          <w:p w:rsidR="009E4540" w:rsidRPr="00F30408" w:rsidRDefault="009E4540" w:rsidP="00FF3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азвитие конкуренции на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рынке услуг розничной торговли лекарственными препаратами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связано с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повышением доступности лекарственных препаратов для граждан и эффективности бюджетных расходов на лекарственное обеспечение через снижение цен на лекарственные препараты при использовании конкурентных способов закупок, с минимизацией действий недобросовестных заказчиков и поставщиков, с соблюдением порядка определения взаимозаменяемости лекарственных препаратов, с использованием мер поддержки аптечных организаций в зависимости от численности населения</w:t>
            </w:r>
          </w:p>
        </w:tc>
      </w:tr>
      <w:tr w:rsidR="009E4540" w:rsidRPr="00F30408" w:rsidTr="006F0E15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Участие негосударственных аптечных организаций в осуществлении розничной торговли фармацевтической продукцией 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 на рынке торговли фармацевтической продукцией, %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здравоохранения Орловской области</w:t>
            </w:r>
          </w:p>
        </w:tc>
      </w:tr>
      <w:tr w:rsidR="009E4540" w:rsidRPr="00F30408" w:rsidTr="006F0E15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деятельности, а также по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информационной</w:t>
            </w:r>
          </w:p>
          <w:p w:rsidR="009E4540" w:rsidRPr="00F30408" w:rsidRDefault="009E4540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грамотности предпринимателей,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осуществляющих хозяйственную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деятельность на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круглых столов,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онсульта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</w:p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C4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круглых столов,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онсульта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C4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круглых столов,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онсульта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143E2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1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143E2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540" w:rsidRPr="00F30408" w:rsidRDefault="009E4540" w:rsidP="0061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рынке</w:t>
            </w:r>
          </w:p>
        </w:tc>
        <w:tc>
          <w:tcPr>
            <w:tcW w:w="1446" w:type="dxa"/>
          </w:tcPr>
          <w:p w:rsidR="009E4540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Осуществление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доступности вхождения субъектов предпринимательства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норматив-ного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правового акта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3C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круглых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347" w:type="dxa"/>
            <w:vAlign w:val="center"/>
          </w:tcPr>
          <w:p w:rsidR="009E4540" w:rsidRPr="00F30408" w:rsidRDefault="009E4540" w:rsidP="003C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Проведе-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круглых столов,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Рынок медицинских услуг представлен 510 хозяйствующими субъектами, из которых 264 субъекта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 51,7 %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частные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246 субъектов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48,3 %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государственной формы собственности.</w:t>
            </w:r>
          </w:p>
          <w:p w:rsidR="009E4540" w:rsidRPr="00F30408" w:rsidRDefault="009E4540" w:rsidP="003C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реализации Программы государственных гарантий бесплатного оказания гражданам медицинской помощи на территории Орловской области, в том числе территориальной программы ОМС, участвуют 76 медицинских организаций, из которых 20 являются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организациями негосударственной формы собственности и осуществляют деятельность в сфере ОМС. Примером этому является деятельность частных медицинских организаций по направлениям осуществления гемодиализа, ПЭТ и МРТ исследований.</w:t>
            </w:r>
          </w:p>
          <w:p w:rsidR="009E4540" w:rsidRPr="00F30408" w:rsidRDefault="009E4540" w:rsidP="003C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мониторинга конкуренция на рынке медицинских услуг является умеренной, отмечается рост числа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медицинских организаций негосударственной формы собственности.</w:t>
            </w:r>
          </w:p>
          <w:p w:rsidR="009E4540" w:rsidRDefault="009E4540" w:rsidP="006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Основными причинами, влияющими на ведение текущей деятельности в данной сфере, а также при  открытии новых медицинских организаций,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являются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неурегулированность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и осуществления налоговой политики, недостато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чность квалифицированных кадров.</w:t>
            </w:r>
          </w:p>
          <w:p w:rsidR="009E4540" w:rsidRPr="00F30408" w:rsidRDefault="009E4540" w:rsidP="00E4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спроса и платежеспособности населения при получении услуг в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медицинских организациях негосударственной формы собственности является достаточным фактором для развития конкуренции на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рынке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медицинских услуг.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57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D34186">
        <w:tc>
          <w:tcPr>
            <w:tcW w:w="15276" w:type="dxa"/>
            <w:gridSpan w:val="8"/>
            <w:vAlign w:val="center"/>
          </w:tcPr>
          <w:p w:rsidR="009E4540" w:rsidRPr="00F30408" w:rsidRDefault="009E4540" w:rsidP="005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Необходимость совершенствования мероприятий по содействию развити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конкуренции на данном рынке связана со средней  удовлетворенностью потребителей качеством медицинских услуг, стоимостью услуг как в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так и в частных медицинских организациях, недостаточно развит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частных медицинских услуг в отдельных районах региона.</w:t>
            </w:r>
          </w:p>
          <w:p w:rsidR="009E4540" w:rsidRPr="00F30408" w:rsidRDefault="009E4540" w:rsidP="005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заявлений в сфере лицензирования для предоставления государственных услуг свидетельствует о стабильности ситуации в сфере предоставления медицинских услуг. Обеспечено надлежащее информирование общественности о результатах лицензирования, осуществляется обратная связь с медицинскими организациями с целью координации совместных действий по достижению результативности лицензирования.</w:t>
            </w:r>
          </w:p>
          <w:p w:rsidR="009E4540" w:rsidRPr="00F30408" w:rsidRDefault="009E4540" w:rsidP="00572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тем в целях совершенствования нормативно-правового регулирования в вопросах лицензирования и осуществления медицинской деятельности, развития конкурентной среды в сфере оказания медицинских услуг требуется:</w:t>
            </w:r>
          </w:p>
          <w:p w:rsidR="009E4540" w:rsidRPr="00F30408" w:rsidRDefault="009E4540" w:rsidP="00572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разработанного Министерством здравоохранения Российской Федерации административного регламента исполнения государственных функций в части переданных полномочий по лицензированию  медицинской деятельности медицинских организаций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(за исключением медицинских организаций, подведомственных федеральным органам исполнительной власти);</w:t>
            </w:r>
          </w:p>
          <w:p w:rsidR="009E4540" w:rsidRDefault="009E4540" w:rsidP="00572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редактирование положений Порядка оказания медицинской помощи в части требований к оснащению оборудованием кабинетов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отделений медицинских организаций в части определения минимального перечня оборудования, требующегося для получения лицензии, 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указания в стандартах оснащений возможност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необходимых обследований по договорам с иными медицинскими организациями;</w:t>
            </w:r>
          </w:p>
          <w:p w:rsidR="009E4540" w:rsidRPr="00F30408" w:rsidRDefault="009E4540" w:rsidP="00572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распределения объемов оказания и финансового обеспечения медицинской помощи в рамках территориальной программы ОМС для организаций негосударственной формы собственности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Участие медицинских организаций негосударственной формы собственности в реализации территориальной программы обязательного медицинского страхования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Увеличение доступности  медицинской помощи, расширение ассортимента медицинских услуг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здравоохранения Орловской области</w:t>
            </w:r>
          </w:p>
        </w:tc>
      </w:tr>
      <w:tr w:rsidR="009E4540" w:rsidRPr="00F30408" w:rsidTr="006F0E15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Методическая помощь при проведении процедуры лицензирования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E4540" w:rsidRPr="00F30408" w:rsidRDefault="009E4540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доступности вхождения субъектов предпринимательства в сферу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предоставления медицинских услуг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BD0C75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BD0C75">
        <w:trPr>
          <w:trHeight w:val="2833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возможности подачи заявок в электронной форме на получение лицензий на осуществление медицинской деятельности через портал государственных и муниципальных услуг субъекта Российской Федерации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доступности вхождения субъектов предпринимательства в сферу оказания медицинских услуг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норматив-ного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правового акта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норматив-ного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правового акта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норматив-ного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правового акта на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E45D59">
        <w:trPr>
          <w:trHeight w:val="109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</w:tc>
      </w:tr>
      <w:tr w:rsidR="009E4540" w:rsidRPr="00F30408" w:rsidTr="00E45D59">
        <w:trPr>
          <w:trHeight w:val="4238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Всего на данном рынке 12 хозяйствующих субъектов, из них 4 находятся в собственности Орловской области, 8 являются частными.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</w:t>
            </w:r>
            <w:r w:rsidRPr="00F30408">
              <w:rPr>
                <w:sz w:val="24"/>
                <w:szCs w:val="24"/>
              </w:rPr>
              <w:t xml:space="preserve"> предприятия осуществляют свою деятельности более 5 лет.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Для большинства опрошенных в результате мониторинга предприятий (79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географическими границами рынка являются границы Орловской области.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Мнения респондентов об уровне конкуренции на данном рынке разделились следующим образом: 26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 считают, что конкуренция высокая или очень высокая, 29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 отмечают умеренную конкуренцию, 26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 xml:space="preserve">% считают, что конкуренция отсутствует либо присутствует слабая. </w:t>
            </w:r>
            <w:r>
              <w:rPr>
                <w:sz w:val="24"/>
                <w:szCs w:val="24"/>
              </w:rPr>
              <w:br/>
            </w:r>
            <w:r w:rsidRPr="00F30408">
              <w:rPr>
                <w:sz w:val="24"/>
                <w:szCs w:val="24"/>
              </w:rPr>
              <w:t>Вместе с тем большинство (63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отметил</w:t>
            </w:r>
            <w:r>
              <w:rPr>
                <w:sz w:val="24"/>
                <w:szCs w:val="24"/>
              </w:rPr>
              <w:t>о</w:t>
            </w:r>
            <w:r w:rsidRPr="00F30408">
              <w:rPr>
                <w:sz w:val="24"/>
                <w:szCs w:val="24"/>
              </w:rPr>
              <w:t xml:space="preserve"> рост уровня конкуренции за </w:t>
            </w:r>
            <w:r>
              <w:rPr>
                <w:sz w:val="24"/>
                <w:szCs w:val="24"/>
              </w:rPr>
              <w:t>последние</w:t>
            </w:r>
            <w:r w:rsidRPr="00F30408">
              <w:rPr>
                <w:sz w:val="24"/>
                <w:szCs w:val="24"/>
              </w:rPr>
              <w:t xml:space="preserve"> 3 года, а больше половины респондентов (58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считают, что число конкурентов не изменилось.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Отрицательную оценку получили такие факторы, как экономическая стабильность и возможность планирования бизнеса (27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>,</w:t>
            </w:r>
            <w:r w:rsidRPr="00F30408"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</w:t>
            </w:r>
            <w:r w:rsidRPr="00F30408">
              <w:rPr>
                <w:sz w:val="24"/>
                <w:szCs w:val="24"/>
              </w:rPr>
              <w:t>сроки окупаемости капиталовложений (27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 опрошенных предприятий считают, что на данном рынке присутствуют административные барьеры. Наиболее существенными административными барьерами стали несовершенство ценовой политики (67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%), нестабильность российского законодательства, регулирующего предпринимательскую деятельность (50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>,</w:t>
            </w:r>
            <w:r w:rsidRPr="00F30408">
              <w:rPr>
                <w:sz w:val="24"/>
                <w:szCs w:val="24"/>
              </w:rPr>
              <w:t xml:space="preserve"> и несовершенство налоговой политики (33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%). Значительная часть респондентов (42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 xml:space="preserve">%) считает, </w:t>
            </w:r>
            <w:r w:rsidRPr="00F30408">
              <w:rPr>
                <w:sz w:val="24"/>
                <w:szCs w:val="24"/>
              </w:rPr>
              <w:br/>
              <w:t>что уровень и количество административных барьеров за последние 3 г</w:t>
            </w:r>
            <w:r>
              <w:rPr>
                <w:sz w:val="24"/>
                <w:szCs w:val="24"/>
              </w:rPr>
              <w:t>ода не изменились.</w:t>
            </w:r>
          </w:p>
          <w:p w:rsidR="009E4540" w:rsidRPr="00F30408" w:rsidRDefault="009E4540" w:rsidP="003C4D6E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Направления развития конкуренции на рынке / меры по решению обозначенных предпринимателями проблем: </w:t>
            </w:r>
            <w:r>
              <w:rPr>
                <w:sz w:val="24"/>
                <w:szCs w:val="24"/>
              </w:rPr>
              <w:t>с</w:t>
            </w:r>
            <w:r w:rsidRPr="00F30408">
              <w:rPr>
                <w:sz w:val="24"/>
                <w:szCs w:val="24"/>
              </w:rPr>
              <w:t xml:space="preserve">одействие развитию </w:t>
            </w:r>
            <w:r>
              <w:rPr>
                <w:sz w:val="24"/>
                <w:szCs w:val="24"/>
              </w:rPr>
              <w:t>рынка племенного животноводства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AC7450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 и птицы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 в натуральном выражении (в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20,5 %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21 %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</w:tr>
      <w:tr w:rsidR="009E4540" w:rsidRPr="00F30408" w:rsidTr="00E45D59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E45D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E45D5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E45D59">
        <w:trPr>
          <w:trHeight w:val="110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условных головах) организациями частной формы собственности, осуществляющими деятельность по разведению племенных сельскохозяйственных животных, в общем количестве реализованных на рынке товаров в натуральном выражении всеми организациями, осуществляющими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19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Мониторинг продуктивности маточного поголовья в племенных организациях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117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организаций Орловской области в государственном племенном регистре Российской Федерации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семеноводства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Всего на данном рынке 10 хозяйствующи</w:t>
            </w:r>
            <w:r>
              <w:rPr>
                <w:sz w:val="24"/>
                <w:szCs w:val="24"/>
              </w:rPr>
              <w:t>х</w:t>
            </w:r>
            <w:r w:rsidRPr="00F30408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ов</w:t>
            </w:r>
            <w:r w:rsidRPr="00F30408">
              <w:rPr>
                <w:sz w:val="24"/>
                <w:szCs w:val="24"/>
              </w:rPr>
              <w:t xml:space="preserve">, из них 8 (80,0 %) частных и 2 (20,0 %) – государственных. 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В опросе (в рамках ежегодного мониторинга) приняло участие 8 респондентов частных компаний, что составляет 100 % от общего числа частных хозяйствующих субъектов. Все опрошенные предприятия осуществляют свою деятельности более 5 лет.</w:t>
            </w:r>
          </w:p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Значительная часть опрошенных предприятий (42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представля</w:t>
            </w:r>
            <w:r>
              <w:rPr>
                <w:sz w:val="24"/>
                <w:szCs w:val="24"/>
              </w:rPr>
              <w:t>е</w:t>
            </w:r>
            <w:r w:rsidRPr="00F30408">
              <w:rPr>
                <w:sz w:val="24"/>
                <w:szCs w:val="24"/>
              </w:rPr>
              <w:t>т рынок Российской Федерации, остальные (58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являются представителями рынка Орловской области и нескольких других субъектов Российской Федерации.</w:t>
            </w:r>
          </w:p>
          <w:p w:rsidR="009E4540" w:rsidRPr="00F30408" w:rsidRDefault="009E4540" w:rsidP="00E45D59">
            <w:pPr>
              <w:pStyle w:val="ab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Результаты опросов показали, что мнения респондентов об уровне конкуренции на данном рынке разделились пополам: первые считают, что конкуренция присутствует слабая или умеренная, вторые – оценивают как высокую или очень высокую. Вместе с тем большинство (75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отметил</w:t>
            </w:r>
            <w:r>
              <w:rPr>
                <w:sz w:val="24"/>
                <w:szCs w:val="24"/>
              </w:rPr>
              <w:t>о</w:t>
            </w:r>
            <w:r w:rsidRPr="00F30408">
              <w:rPr>
                <w:sz w:val="24"/>
                <w:szCs w:val="24"/>
              </w:rPr>
              <w:t xml:space="preserve"> рост уровня конкуренции за последние 3 года.</w:t>
            </w:r>
          </w:p>
          <w:p w:rsidR="009E4540" w:rsidRPr="00F30408" w:rsidRDefault="009E4540" w:rsidP="00E45D59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Наибольшее количество компаний (58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оценили удовлетворительно: платежную дисциплину бизнес-партнеров; возможность получения кредитов; взаимоотношение между компаниями-конкурентами; рыночную инфраструктуру (дороги, коммуникации).</w:t>
            </w:r>
          </w:p>
          <w:p w:rsidR="009E4540" w:rsidRPr="00F30408" w:rsidRDefault="009E4540" w:rsidP="00E45D59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Плохую оценку получил такой фактор, как экономическая стабильность и возможность планирования бизнеса (36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%).</w:t>
            </w:r>
          </w:p>
          <w:p w:rsidR="009E4540" w:rsidRPr="00F30408" w:rsidRDefault="009E4540" w:rsidP="00E45D59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 опрошенных предприятий считают, что на данном рынке присутствуют административные барьеры. Наиболее существенными</w:t>
            </w:r>
          </w:p>
        </w:tc>
      </w:tr>
      <w:tr w:rsidR="009E4540" w:rsidRPr="00F30408" w:rsidTr="00BD0C75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BD0C7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BD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D34186">
        <w:trPr>
          <w:trHeight w:val="130"/>
        </w:trPr>
        <w:tc>
          <w:tcPr>
            <w:tcW w:w="15276" w:type="dxa"/>
            <w:gridSpan w:val="8"/>
            <w:vAlign w:val="center"/>
          </w:tcPr>
          <w:p w:rsidR="009E4540" w:rsidRPr="00F30408" w:rsidRDefault="009E4540" w:rsidP="00635C5F">
            <w:pPr>
              <w:pStyle w:val="ab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административными барьерами стали нестабильность российского законодательства, регулирующего предпринимательскую деятельность (42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%), и несовершенство ценовой политики (42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%). Значительная часть респондентов (42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>%) считает, что уровень и количество административных барьеров за последние 3 года не изменились.</w:t>
            </w:r>
          </w:p>
          <w:p w:rsidR="009E4540" w:rsidRPr="00F30408" w:rsidRDefault="009E4540" w:rsidP="00E45D59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Направления развития конкуренции на рынке / меры по решению обозначенных предпринимателями проблем: </w:t>
            </w:r>
            <w:r>
              <w:rPr>
                <w:sz w:val="24"/>
                <w:szCs w:val="24"/>
              </w:rPr>
              <w:t>о</w:t>
            </w:r>
            <w:r w:rsidRPr="00F30408">
              <w:rPr>
                <w:sz w:val="24"/>
                <w:szCs w:val="24"/>
              </w:rPr>
              <w:t>беспечение производителей сельскохозяйственных товаров качественным семенным материалом</w:t>
            </w:r>
          </w:p>
        </w:tc>
      </w:tr>
      <w:tr w:rsidR="009E4540" w:rsidRPr="00F30408" w:rsidTr="00E45D59">
        <w:trPr>
          <w:trHeight w:val="1577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Стимулирование хозяйствующих субъектов по использованию качественного семенного материала в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количества организаций частной формы собственности, осуществляющих деятельность на рынке семеноводства, в количестве всех организаций,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20 %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</w:tr>
      <w:tr w:rsidR="009E4540" w:rsidRPr="00F30408" w:rsidTr="00E45D59">
        <w:trPr>
          <w:trHeight w:val="154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E45D59">
        <w:trPr>
          <w:trHeight w:val="358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вылова водных биоресурсов</w:t>
            </w:r>
          </w:p>
        </w:tc>
      </w:tr>
      <w:tr w:rsidR="009E4540" w:rsidRPr="00F30408" w:rsidTr="00E45D59">
        <w:trPr>
          <w:trHeight w:val="3950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Данный рынок представлен малыми формами хозяйствования, 100 % </w:t>
            </w:r>
            <w:r>
              <w:rPr>
                <w:sz w:val="24"/>
                <w:szCs w:val="24"/>
              </w:rPr>
              <w:t xml:space="preserve">из них являются </w:t>
            </w:r>
            <w:r w:rsidRPr="00F30408">
              <w:rPr>
                <w:sz w:val="24"/>
                <w:szCs w:val="24"/>
              </w:rPr>
              <w:t>частными хозяйствующими субъектами.</w:t>
            </w:r>
          </w:p>
          <w:p w:rsidR="009E4540" w:rsidRPr="00F30408" w:rsidRDefault="009E4540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 территории области насчитывается более 2 тыс. рек и ручьев общей протяженностью 9100 км. Реки области принадлежат бассейнам трех рек: </w:t>
            </w:r>
            <w:hyperlink r:id="rId8" w:tooltip="Волга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Волга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9" w:tooltip="Дон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Дон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10" w:tooltip="Днепр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Днепр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40" w:rsidRPr="00F30408" w:rsidRDefault="009E4540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Основная река области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11" w:tooltip="Ока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Ока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 – одна из крупнейших рек Европы, б</w:t>
            </w:r>
            <w:r>
              <w:rPr>
                <w:rFonts w:ascii="Times New Roman" w:hAnsi="Times New Roman"/>
                <w:sz w:val="24"/>
                <w:szCs w:val="24"/>
              </w:rPr>
              <w:t>ерущая начало на юге области. Ее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притоки: </w:t>
            </w:r>
            <w:proofErr w:type="spellStart"/>
            <w:r w:rsidR="008D1518" w:rsidRPr="008D1518">
              <w:fldChar w:fldCharType="begin"/>
            </w:r>
            <w:r w:rsidR="00F16E42">
              <w:instrText xml:space="preserve"> HYPERLINK "https://ru.wikipedia.org/wiki/%D0%97%D1%83%D1%88%D0%B0_(%D1%80%D0%B5%D0%BA%D0%B0)" \o "Зуша (река)" </w:instrText>
            </w:r>
            <w:r w:rsidR="008D1518" w:rsidRPr="008D1518">
              <w:fldChar w:fldCharType="separate"/>
            </w:r>
            <w:r w:rsidRPr="00F30408">
              <w:rPr>
                <w:rFonts w:ascii="Times New Roman" w:hAnsi="Times New Roman"/>
                <w:sz w:val="24"/>
                <w:szCs w:val="24"/>
              </w:rPr>
              <w:t>Зуша</w:t>
            </w:r>
            <w:proofErr w:type="spellEnd"/>
            <w:r w:rsidR="008D15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 (с притоком </w:t>
            </w:r>
            <w:hyperlink r:id="rId12" w:tooltip="Неручь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Неручь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hyperlink r:id="rId13" w:tooltip="Вытебеть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Вытебеть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tooltip="Нугрь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Нугрь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tooltip="Цон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Цон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tooltip="Орлик (река)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Орлик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tooltip="Оптуха (река)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Оптуха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tooltip="Рыбница (река) (страница отсутствует)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Рыбница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tooltip="Крома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Крома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40" w:rsidRPr="00F30408" w:rsidRDefault="009E4540" w:rsidP="006F0E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восточной части области протекает река </w:t>
            </w:r>
            <w:hyperlink r:id="rId20" w:tooltip="Быстрая Сосна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Сосна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 со своими притоками: </w:t>
            </w:r>
            <w:hyperlink r:id="rId21" w:tooltip="Труды (река)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Труды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tooltip="Тим (приток Сосны)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Тим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tooltip="Любовша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Любовша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tooltip="Кшень (река)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Кшень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5" w:tooltip="Олым (река)" w:history="1">
              <w:proofErr w:type="spellStart"/>
              <w:r w:rsidRPr="00F30408">
                <w:rPr>
                  <w:rFonts w:ascii="Times New Roman" w:hAnsi="Times New Roman"/>
                  <w:sz w:val="24"/>
                  <w:szCs w:val="24"/>
                </w:rPr>
                <w:t>Олым</w:t>
              </w:r>
              <w:proofErr w:type="spellEnd"/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. На западе области берут начало реки </w:t>
            </w:r>
            <w:proofErr w:type="spellStart"/>
            <w:r w:rsidR="008D1518" w:rsidRPr="008D1518">
              <w:fldChar w:fldCharType="begin"/>
            </w:r>
            <w:r w:rsidR="00F16E42">
              <w:instrText xml:space="preserve"> HYPERLINK "https://ru.wikipedia.org/wiki/%D0%9D%D0%B5%D1%80%D1%83%D1%81%D1%81%D0%B0_(%D1%80%D0%B5%D0%BA%D0%B0)" \o "Нерусса (река)" </w:instrText>
            </w:r>
            <w:r w:rsidR="008D1518" w:rsidRPr="008D1518">
              <w:fldChar w:fldCharType="separate"/>
            </w:r>
            <w:r w:rsidRPr="00F30408">
              <w:rPr>
                <w:rFonts w:ascii="Times New Roman" w:hAnsi="Times New Roman"/>
                <w:sz w:val="24"/>
                <w:szCs w:val="24"/>
              </w:rPr>
              <w:t>Нерусса</w:t>
            </w:r>
            <w:proofErr w:type="spellEnd"/>
            <w:r w:rsidR="008D15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3040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6" w:tooltip="Навля (река)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Навля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 и </w:t>
            </w:r>
            <w:proofErr w:type="spellStart"/>
            <w:r w:rsidR="008D1518" w:rsidRPr="008D1518">
              <w:fldChar w:fldCharType="begin"/>
            </w:r>
            <w:r w:rsidR="00F16E42">
              <w:instrText xml:space="preserve"> HYPERLINK "https://ru.wikipedia.org/wiki/%D0%A1%D0%B2%D0%B0%D0%BF%D0%B0" \o "Свапа" </w:instrText>
            </w:r>
            <w:r w:rsidR="008D1518" w:rsidRPr="008D1518">
              <w:fldChar w:fldCharType="separate"/>
            </w:r>
            <w:r w:rsidRPr="00F30408">
              <w:rPr>
                <w:rFonts w:ascii="Times New Roman" w:hAnsi="Times New Roman"/>
                <w:sz w:val="24"/>
                <w:szCs w:val="24"/>
              </w:rPr>
              <w:t>Свапа</w:t>
            </w:r>
            <w:proofErr w:type="spellEnd"/>
            <w:r w:rsidR="008D15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30408">
              <w:rPr>
                <w:rFonts w:ascii="Times New Roman" w:hAnsi="Times New Roman"/>
                <w:sz w:val="24"/>
                <w:szCs w:val="24"/>
              </w:rPr>
              <w:t>, относящиеся к бассейну </w:t>
            </w:r>
            <w:hyperlink r:id="rId27" w:tooltip="Днепр" w:history="1">
              <w:r w:rsidRPr="00F30408">
                <w:rPr>
                  <w:rFonts w:ascii="Times New Roman" w:hAnsi="Times New Roman"/>
                  <w:sz w:val="24"/>
                  <w:szCs w:val="24"/>
                </w:rPr>
                <w:t>Днепра</w:t>
              </w:r>
            </w:hyperlink>
            <w:r w:rsidRPr="00F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40" w:rsidRPr="00F30408" w:rsidRDefault="009E4540" w:rsidP="00635C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 территории области имеются 15 водохранилищ емкостью свыше 1,0 млн м</w:t>
            </w:r>
            <w:r w:rsidRPr="00F304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каждое и порядка 140 прудов емкостью менее 1,0 млн м</w:t>
            </w:r>
            <w:r w:rsidRPr="00F3040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 основном работают по принципу сезонного пассивного регулирования стока, используются для рыборазведения, орошения и в рекреационных целях.</w:t>
            </w:r>
          </w:p>
          <w:p w:rsidR="009E4540" w:rsidRPr="00F30408" w:rsidRDefault="009E4540" w:rsidP="00E45D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Общая площадь зеркала всех водоемов области составляет более 4700 га.</w:t>
            </w:r>
          </w:p>
          <w:p w:rsidR="009E4540" w:rsidRPr="00BD0C75" w:rsidRDefault="009E4540" w:rsidP="00E45D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C75">
              <w:rPr>
                <w:rFonts w:ascii="Times New Roman" w:hAnsi="Times New Roman"/>
                <w:sz w:val="24"/>
                <w:szCs w:val="24"/>
              </w:rPr>
              <w:t>Главными промысловыми видами рыб являются лещ, плотва и окунь, вылавливаются также судак, щука.</w:t>
            </w:r>
          </w:p>
          <w:p w:rsidR="009E4540" w:rsidRPr="00F30408" w:rsidRDefault="009E4540" w:rsidP="00E45D5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D0C75">
              <w:rPr>
                <w:rFonts w:ascii="Times New Roman" w:hAnsi="Times New Roman"/>
                <w:sz w:val="24"/>
                <w:szCs w:val="24"/>
              </w:rPr>
              <w:t>Направления развития конкуренции на рынке/меры по решению обозначенных предпринимателями проблем: риски снижения воспроизводства водных биоресурсов, пригодных для использования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2D227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E7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Анализ отношений в среде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рыбопромысловиков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Федеральному закону от 26 июля 2006 года № 135-ФЗ «О защите конкуренции»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объема добычи (вылова) рыбы, других водных биоресурсов организаций частной формы собственности в общем объеме добычи (вылова) рыбы, других водных биоресурсов всех хозяйствующих субъектов данного рынка,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80,5 %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81 %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</w:tr>
      <w:tr w:rsidR="009E4540" w:rsidRPr="00F30408" w:rsidTr="006F0E15">
        <w:trPr>
          <w:trHeight w:val="20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Популяризация вида экономической деятельности «Вылов водных биоресурсов»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Данный рынок представлен 1 хозяйствующим субъектом (частная организация)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Ежегодное проведение мониторинга переработки водных биоресурсов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D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продукции организаций частной формы собственности, осуществляющих деятельность на рынке переработки водных биоресурсов, в общем объеме продукции всех хозяйствующих 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80,5 %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81 %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</w:tr>
      <w:tr w:rsidR="009E4540" w:rsidRPr="00F30408" w:rsidTr="002D2275">
        <w:trPr>
          <w:trHeight w:val="27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540" w:rsidRPr="00F30408" w:rsidRDefault="009E4540" w:rsidP="006D6CFE">
            <w:pPr>
              <w:pStyle w:val="Default"/>
            </w:pPr>
            <w:r w:rsidRPr="00F30408">
              <w:t>Возмещение части затрат сельскохозяйственным потребительским кооперативам на развитие материально-технической базы для заготовки, хранения, переработки, сортировки, охлаждени</w:t>
            </w:r>
            <w:r>
              <w:t>я</w:t>
            </w:r>
            <w:r w:rsidRPr="00F30408">
              <w:t xml:space="preserve"> рыбы и объектов </w:t>
            </w:r>
          </w:p>
          <w:p w:rsidR="009E4540" w:rsidRPr="00F30408" w:rsidRDefault="009E4540" w:rsidP="006D6CFE">
            <w:pPr>
              <w:pStyle w:val="Default"/>
            </w:pPr>
            <w:proofErr w:type="spellStart"/>
            <w:r w:rsidRPr="00F30408">
              <w:t>аквакультуры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по мере обращения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субъектов данного рынка, %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Рынок товарной</w:t>
            </w:r>
            <w:r w:rsidRPr="00F30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Рынок товарной </w:t>
            </w:r>
            <w:proofErr w:type="spellStart"/>
            <w:r w:rsidRPr="00F30408">
              <w:rPr>
                <w:sz w:val="24"/>
                <w:szCs w:val="24"/>
              </w:rPr>
              <w:t>аквакультуры</w:t>
            </w:r>
            <w:proofErr w:type="spellEnd"/>
            <w:r w:rsidRPr="00F30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F30408">
              <w:rPr>
                <w:sz w:val="24"/>
                <w:szCs w:val="24"/>
              </w:rPr>
              <w:t>100 %</w:t>
            </w:r>
            <w:r>
              <w:rPr>
                <w:sz w:val="24"/>
                <w:szCs w:val="24"/>
              </w:rPr>
              <w:t xml:space="preserve"> </w:t>
            </w:r>
            <w:r w:rsidRPr="00F30408">
              <w:rPr>
                <w:sz w:val="24"/>
                <w:szCs w:val="24"/>
              </w:rPr>
              <w:t xml:space="preserve">представлен частными хозяйствующими субъектами. </w:t>
            </w:r>
          </w:p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Для осуществления товарного производства рыбы в области имеется 46 водоемов, оборудованных донными выпусками и </w:t>
            </w:r>
            <w:proofErr w:type="spellStart"/>
            <w:r w:rsidRPr="00F30408">
              <w:rPr>
                <w:sz w:val="24"/>
                <w:szCs w:val="24"/>
              </w:rPr>
              <w:t>рыбоприемниками</w:t>
            </w:r>
            <w:proofErr w:type="spellEnd"/>
            <w:r w:rsidRPr="00F30408">
              <w:rPr>
                <w:sz w:val="24"/>
                <w:szCs w:val="24"/>
              </w:rPr>
              <w:t>, общей площадью 1,8 тыс. га.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2D227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2D2275">
        <w:trPr>
          <w:trHeight w:val="4095"/>
        </w:trPr>
        <w:tc>
          <w:tcPr>
            <w:tcW w:w="15276" w:type="dxa"/>
            <w:gridSpan w:val="8"/>
            <w:vAlign w:val="center"/>
          </w:tcPr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Видовой состав товарной рыбы представлен карпом, карасем, толстолобиком и осетровыми.</w:t>
            </w:r>
          </w:p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30408">
              <w:rPr>
                <w:sz w:val="24"/>
                <w:szCs w:val="24"/>
              </w:rPr>
              <w:t>аквакультуры</w:t>
            </w:r>
            <w:proofErr w:type="spellEnd"/>
            <w:r w:rsidRPr="00F30408">
              <w:rPr>
                <w:sz w:val="24"/>
                <w:szCs w:val="24"/>
              </w:rPr>
              <w:t xml:space="preserve"> (рыбоводства) направлено на максимальное обеспечение населения региона товарной рыбной продукцией собственного производства.</w:t>
            </w:r>
          </w:p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Наибольший объем среди выращенной рыбы в области занимают карповые виды рыб (карп, карась). Они реализуются в основном </w:t>
            </w:r>
            <w:r w:rsidRPr="00F30408">
              <w:rPr>
                <w:sz w:val="24"/>
                <w:szCs w:val="24"/>
              </w:rPr>
              <w:br/>
              <w:t xml:space="preserve">в живом виде. Самой высокой пищевой ценностью обладает живая и охлажденная рыба, поэтому карп и растительноядные рыбы </w:t>
            </w:r>
            <w:r w:rsidRPr="00F30408">
              <w:rPr>
                <w:sz w:val="24"/>
                <w:szCs w:val="24"/>
              </w:rPr>
              <w:br/>
              <w:t xml:space="preserve">в живом и охлажденном виде пользуются повышенным спросом у населения. </w:t>
            </w:r>
          </w:p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Действующие в настоящее время на территории Орловской области рыбоводческие производства не имеют технической возможности обеспечивать население области товарной продукцией собственного производства. Существующий уровень доходов большей части рыбоводных хозяйств области не позволяет поддерживать и обновлять материально-техническую базу и расширять производство. Помимо этого, из-за высоких цен на специальные корма рыбоводные хозяйства вынуждены выращивать рыбу на кормах собственного производства или на естественной кормовой базе. Проблемой остается переработка собственной продукции сельскохозяйственных товаропроизводителей, в том числе глубокая переработка, требующая вложений значительных средств.</w:t>
            </w:r>
          </w:p>
          <w:p w:rsidR="009E4540" w:rsidRPr="00F30408" w:rsidRDefault="009E4540" w:rsidP="002D2275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Направления развития конкуренции на рынке / меры по решению обозначенных предпринимателями проблем: </w:t>
            </w:r>
            <w:r>
              <w:rPr>
                <w:sz w:val="24"/>
                <w:szCs w:val="24"/>
              </w:rPr>
              <w:t>о</w:t>
            </w:r>
            <w:r w:rsidRPr="00F30408">
              <w:rPr>
                <w:sz w:val="24"/>
                <w:szCs w:val="24"/>
              </w:rPr>
              <w:t>казание государственной поддержки рыбоводным хозяйствам</w:t>
            </w:r>
          </w:p>
        </w:tc>
      </w:tr>
      <w:tr w:rsidR="009E4540" w:rsidRPr="00F30408" w:rsidTr="002D2275">
        <w:trPr>
          <w:trHeight w:val="2261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4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разноформатной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инфраструктуры розничной торговли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D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объема изъятия объектов товарной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(товарного рыбоводства) организаций частной формы собственности в общем объеме изъятия объектов товарной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(товарного 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80,5 %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81 %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</w:tr>
      <w:tr w:rsidR="009E4540" w:rsidRPr="00F30408" w:rsidTr="002D2275">
        <w:trPr>
          <w:trHeight w:val="238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D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консультационных услуг субъектам малого и среднего </w:t>
            </w:r>
          </w:p>
          <w:p w:rsidR="009E4540" w:rsidRPr="00F30408" w:rsidRDefault="009E4540" w:rsidP="00CF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в сфере развития товарной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CF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рыбоводства) всех хозяйствующих субъектов данного рынка, %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2D2275">
        <w:trPr>
          <w:trHeight w:val="27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2D2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2D2275">
        <w:trPr>
          <w:trHeight w:val="126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Системные мероприятия по содействию развитию конкуренции в Орловской области</w:t>
            </w:r>
          </w:p>
        </w:tc>
      </w:tr>
      <w:tr w:rsidR="009E4540" w:rsidRPr="00F30408" w:rsidTr="00CF686B">
        <w:trPr>
          <w:trHeight w:val="168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Оценка состояния и развития конкурентной среды на рынках товаров, работ и услуг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Формирование информационных и аналитических материалов (с включением оценки состояния конкуренции в Орловской области)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 xml:space="preserve">Департамент экономического развития и инвестиционной деятельности Орловской области; органы исполнительной государственной власти специальной компетенции Орловской области; 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Орловской области (по согласованию)</w:t>
            </w:r>
          </w:p>
        </w:tc>
      </w:tr>
      <w:tr w:rsidR="009E4540" w:rsidRPr="00F30408" w:rsidTr="002D2275">
        <w:trPr>
          <w:trHeight w:val="183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Подготовка ежегодного доклада «Состояние и развитие конкурентной среды на рынках товаров, работ и услуг Орловской области»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 xml:space="preserve"> до 10 марта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2D2275">
        <w:trPr>
          <w:trHeight w:val="2253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специализированной рабочей группы по содействию развитию конкуренции в Орловской области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10 марта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заседаний рабочей группы, ед. 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CF686B">
        <w:trPr>
          <w:trHeight w:val="2677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(организация) обучающих мероприятий и тренингов для органов местного самоуправления муниципальных образований Орловской области по вопросам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 xml:space="preserve">до 1 июля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и 31 декабря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организованных обучающих мероприятий и тренингов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Департамент экономического развития и инвестиционной деятельности Орловской области;</w:t>
            </w:r>
          </w:p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местного</w:t>
            </w:r>
          </w:p>
        </w:tc>
      </w:tr>
      <w:tr w:rsidR="009E4540" w:rsidRPr="00F30408" w:rsidTr="002D2275">
        <w:trPr>
          <w:trHeight w:val="218"/>
        </w:trPr>
        <w:tc>
          <w:tcPr>
            <w:tcW w:w="81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35C5F">
        <w:trPr>
          <w:trHeight w:val="7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Формирование ежегодного рейтинга органов местного самоуправления Орловской области по уровню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муниципальных районов и городских округов Орловской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реализующих мероприятия по содействию развитию конкуренции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самоуправления муниципальных образований Орловской области (по согласованию)</w:t>
            </w:r>
          </w:p>
        </w:tc>
      </w:tr>
      <w:tr w:rsidR="009E4540" w:rsidRPr="00F30408" w:rsidTr="00635C5F">
        <w:trPr>
          <w:trHeight w:val="3307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Анализ воздействия на конкуренцию при проведении оценки регулирующего воздействия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подлежащих оценке регулирующего воздействия, в отношении которых проведен анализ последствий их влияния на конкуренцию, %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Рассмотрение заявок хозяйствующих субъектов о предоставлении отдельным категориям налогоплательщиков налоговых преференций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организованных и проведенных заседаний экспертной комиссии по оценке эффективности региональных налоговых преференций,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определяемого количества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4540" w:rsidRPr="00F30408" w:rsidTr="00777A8C">
        <w:trPr>
          <w:trHeight w:val="324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Реализация органами исполнительной государственной власти специальной компетенции системы мер по внутреннему обеспечению соответствия требованиям антимонопольного законодательства (антимонопольный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Снижение числа нарушений требований антимонопольного законодательства органами исполнительной власти специальной компетенции Орловской области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</w:t>
            </w:r>
          </w:p>
        </w:tc>
      </w:tr>
      <w:tr w:rsidR="009E4540" w:rsidRPr="00F30408" w:rsidTr="00777A8C">
        <w:trPr>
          <w:trHeight w:val="33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777A8C">
            <w:pPr>
              <w:pStyle w:val="s1"/>
            </w:pPr>
            <w:r w:rsidRPr="00F30408">
              <w:rPr>
                <w:lang w:eastAsia="en-US"/>
              </w:rPr>
              <w:t>Проведение анализа практики применения нормативных правовых актов Орловской области, определяющих порядок и условия получения государственных преференций, согласование государственных преференций с антимонопольным органом в случаях, установленных</w:t>
            </w:r>
            <w:r w:rsidRPr="00F30408">
              <w:rPr>
                <w:lang w:eastAsia="en-US"/>
              </w:rPr>
              <w:br/>
            </w:r>
            <w:hyperlink r:id="rId28" w:anchor="/document/12148517/entry/2" w:history="1">
              <w:r w:rsidRPr="00F30408">
                <w:rPr>
                  <w:lang w:eastAsia="en-US"/>
                </w:rPr>
                <w:t xml:space="preserve">антимонопольным </w:t>
              </w:r>
            </w:hyperlink>
            <w:r w:rsidRPr="00D34186">
              <w:rPr>
                <w:lang w:eastAsia="en-US"/>
              </w:rPr>
              <w:t>законодательством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</w:t>
            </w:r>
          </w:p>
        </w:tc>
      </w:tr>
      <w:tr w:rsidR="009E4540" w:rsidRPr="00F30408" w:rsidTr="00777A8C">
        <w:trPr>
          <w:trHeight w:val="420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E4540" w:rsidRPr="00F30408" w:rsidTr="00777A8C">
        <w:trPr>
          <w:trHeight w:val="1828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4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Развитие государственной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организации НО МКК «Фонд микрофинансирования Орловской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выдаваемых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МФО субъектам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МСП нарастающим итогом, ед.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экономического развития и инвестиционной деятельности Орловской </w:t>
            </w:r>
          </w:p>
        </w:tc>
      </w:tr>
      <w:tr w:rsidR="009E4540" w:rsidRPr="00F30408" w:rsidTr="00777A8C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77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35C5F">
        <w:trPr>
          <w:trHeight w:val="332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Развитие системы гарантий и поручительства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</w:t>
            </w:r>
          </w:p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рганизациями, млн рублей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470,9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473,8</w:t>
            </w:r>
          </w:p>
        </w:tc>
        <w:tc>
          <w:tcPr>
            <w:tcW w:w="2126" w:type="dxa"/>
            <w:vMerge w:val="restart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9E4540" w:rsidRPr="00F30408" w:rsidTr="00777A8C">
        <w:trPr>
          <w:trHeight w:val="133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Содействие развитию территории опережающего социально-экономического развития «Мценск»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0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бизнеса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169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Содействие развитию особой экономической зоны промышленно-производственного типа «Орёл»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83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Развитие центра оказания услуг «Мой бизнес»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Реализация программы поддержки предпринимательства в муниципальных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Орловской области «Про100Бизнес»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77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88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Консультационная и финансовая поддержка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ориентированных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доступности закупок товаров, работ и услуг хозяйствующими субъектами, в том числе устранение случаев (снижение количества) применения способа закупки «у единственного поставщика»,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а также применение конкурентных процедур закупок (конкурс, аукцион и др.)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Среднее количество участников закупок, ед.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инвестиционной деятельности Орловской области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20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D3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Оказание заказчикам Орловской области методической и консультационной помощи в вопросах, связанных с формированием заявок на </w:t>
            </w:r>
          </w:p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закупку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126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семинаров с участниками закупок по вопросам участия в конкурентных процедурах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777A8C">
        <w:trPr>
          <w:trHeight w:val="98"/>
        </w:trPr>
        <w:tc>
          <w:tcPr>
            <w:tcW w:w="81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77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35C5F">
        <w:trPr>
          <w:trHeight w:val="193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Информирование заказчиков Орловской области об изменениях в нормативных правовых актах, регламентирующих процесс закупок в рамках контрактной системы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Проведение оценки регулирующего воздействия проектов нормативных правовых актов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барьеров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024BCF">
            <w:pPr>
              <w:pStyle w:val="aa"/>
              <w:jc w:val="center"/>
              <w:rPr>
                <w:rFonts w:ascii="Times New Roman" w:hAnsi="Times New Roman"/>
              </w:rPr>
            </w:pPr>
            <w:r w:rsidRPr="00F30408">
              <w:rPr>
                <w:rFonts w:ascii="Times New Roman" w:hAnsi="Times New Roman" w:cs="Times New Roman"/>
              </w:rPr>
              <w:t>Департамент экономического развития и инвестиционной деятельности Орловской области;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408">
              <w:rPr>
                <w:rFonts w:ascii="Times New Roman" w:hAnsi="Times New Roman" w:cs="Times New Roman"/>
              </w:rPr>
              <w:t xml:space="preserve">местного </w:t>
            </w:r>
            <w:r w:rsidRPr="00F30408">
              <w:rPr>
                <w:rFonts w:ascii="Times New Roman" w:hAnsi="Times New Roman"/>
              </w:rPr>
              <w:t xml:space="preserve">самоуправления муниципальных образований Орловской области (по </w:t>
            </w:r>
          </w:p>
        </w:tc>
      </w:tr>
      <w:tr w:rsidR="009E4540" w:rsidRPr="00F30408" w:rsidTr="00777A8C">
        <w:trPr>
          <w:trHeight w:val="566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024BC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 xml:space="preserve">Проведение анализа практики реализации государственных и муниципальных услуг, </w:t>
            </w:r>
          </w:p>
          <w:p w:rsidR="009E4540" w:rsidRPr="00F30408" w:rsidRDefault="009E4540" w:rsidP="00024BC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предоставляемых субъектам предпринимательской деятельности, на предмет качества их предоставления,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408">
              <w:rPr>
                <w:rFonts w:ascii="Times New Roman" w:hAnsi="Times New Roman" w:cs="Times New Roman"/>
              </w:rPr>
              <w:t xml:space="preserve">также соответствие такой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D3418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40" w:rsidRPr="00F30408" w:rsidTr="00777A8C">
        <w:trPr>
          <w:trHeight w:val="114"/>
        </w:trPr>
        <w:tc>
          <w:tcPr>
            <w:tcW w:w="817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024B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024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024B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4540" w:rsidRPr="00F30408" w:rsidTr="00024BCF">
        <w:trPr>
          <w:trHeight w:val="126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 xml:space="preserve">практики </w:t>
            </w:r>
            <w:hyperlink r:id="rId29" w:history="1">
              <w:r w:rsidRPr="00F30408">
                <w:rPr>
                  <w:rStyle w:val="ac"/>
                  <w:rFonts w:ascii="Times New Roman" w:hAnsi="Times New Roman"/>
                  <w:color w:val="auto"/>
                </w:rPr>
                <w:t>статьям 15</w:t>
              </w:r>
            </w:hyperlink>
            <w:r w:rsidRPr="00F30408">
              <w:rPr>
                <w:rFonts w:ascii="Times New Roman" w:hAnsi="Times New Roman" w:cs="Times New Roman"/>
              </w:rPr>
              <w:t xml:space="preserve"> и </w:t>
            </w:r>
            <w:hyperlink r:id="rId30" w:history="1">
              <w:r w:rsidRPr="00F30408">
                <w:rPr>
                  <w:rStyle w:val="ac"/>
                  <w:rFonts w:ascii="Times New Roman" w:hAnsi="Times New Roman"/>
                  <w:color w:val="auto"/>
                </w:rPr>
                <w:t>16</w:t>
              </w:r>
            </w:hyperlink>
            <w:r>
              <w:rPr>
                <w:rStyle w:val="ac"/>
                <w:rFonts w:ascii="Times New Roman" w:hAnsi="Times New Roman"/>
                <w:color w:val="auto"/>
              </w:rPr>
              <w:t xml:space="preserve"> </w:t>
            </w:r>
            <w:r w:rsidRPr="00F30408">
              <w:rPr>
                <w:rFonts w:ascii="Times New Roman" w:hAnsi="Times New Roman" w:cs="Times New Roman"/>
              </w:rPr>
              <w:t xml:space="preserve">Федерального закона от 26 июля 2006 года </w:t>
            </w:r>
            <w:r w:rsidRPr="00F30408">
              <w:rPr>
                <w:rFonts w:ascii="Times New Roman" w:hAnsi="Times New Roman" w:cs="Times New Roman"/>
              </w:rPr>
              <w:br/>
              <w:t>№ 135-ФЗ «О защите конкуренции»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4540" w:rsidRPr="00F30408" w:rsidRDefault="009E4540" w:rsidP="00024B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30408">
              <w:rPr>
                <w:rFonts w:ascii="Times New Roman" w:hAnsi="Times New Roman"/>
              </w:rPr>
              <w:t>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Внедрение целевых моделей улучшения инвестиционного климата в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551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Организация мероприятий по оптимизации структуры государственной собственности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EE3572" w:rsidRDefault="009E4540" w:rsidP="00EE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Реализация имущества хозяйствующими субъектами, доля участия Орловской области</w:t>
            </w:r>
            <w:r w:rsidRPr="00EE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(муниципальных</w:t>
            </w:r>
            <w:r w:rsidRPr="00EE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EE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области) в</w:t>
            </w:r>
            <w:r w:rsidRPr="00EE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которых составляет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E4540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государственного имущества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Орловской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области;</w:t>
            </w:r>
          </w:p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</w:rPr>
              <w:t>органы местного</w:t>
            </w:r>
            <w:r>
              <w:rPr>
                <w:rFonts w:ascii="Times New Roman" w:hAnsi="Times New Roman"/>
              </w:rPr>
              <w:t xml:space="preserve"> </w:t>
            </w:r>
            <w:r w:rsidRPr="00F30408">
              <w:rPr>
                <w:rFonts w:ascii="Times New Roman" w:hAnsi="Times New Roman"/>
              </w:rPr>
              <w:t>самоуправления</w:t>
            </w:r>
          </w:p>
        </w:tc>
      </w:tr>
      <w:tr w:rsidR="009E4540" w:rsidRPr="00F30408" w:rsidTr="00D34186">
        <w:trPr>
          <w:trHeight w:val="98"/>
        </w:trPr>
        <w:tc>
          <w:tcPr>
            <w:tcW w:w="817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D3418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D3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EE3572">
        <w:trPr>
          <w:trHeight w:val="281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Проведение хозяйствующими субъектами, доля участия Орловской области (муниципальных образований Орловской области)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E4540" w:rsidRPr="00F30408" w:rsidRDefault="009E4540" w:rsidP="00EE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 более процентов, на основе публичных торгов или иных конкурентных процедур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40" w:rsidRPr="00F30408" w:rsidRDefault="009E4540" w:rsidP="00EE35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муниципальных</w:t>
            </w:r>
          </w:p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образований Орловской области (по согласованию)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Обеспечение и сохранение целевого использования государственных (муниципальных) объектов недвижимого имущества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в социальной сфере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и передача указанных объектов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Повышение доли участия частного бизнеса в социальной сфере региона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</w:t>
            </w:r>
          </w:p>
        </w:tc>
      </w:tr>
      <w:tr w:rsidR="009E4540" w:rsidRPr="00F30408" w:rsidTr="00EE3572">
        <w:trPr>
          <w:trHeight w:val="113"/>
        </w:trPr>
        <w:tc>
          <w:tcPr>
            <w:tcW w:w="817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rPr>
          <w:trHeight w:val="16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4540" w:rsidRPr="00F30408" w:rsidRDefault="009E4540" w:rsidP="00EE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Реализация проектов с применением механизмов государственно-частного партнерства в социальной сфере, в том числе посредством заключения концессионных соглашений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проектов в социальной сфере с применением механизмов государственно-частного партнерства, в том числе посредством заключения концессионного соглашения, проектов в год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FC096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 xml:space="preserve">Реализация проектов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FC0963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FC09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FC0963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имущества в социальной сфере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взаимовыгодного сотрудничества Орловской области с частными партнерами в целях создания, реконструкции, модернизации, обслуживания или эксплуатации объектов социальной сферы,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государственно-частного партнерства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(повышения квалификации) педагогических работников негосударственного (немуниципального) сектора в сферах дошкольного, общего и дополнительного образования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специалистов негосударственного (немуниципального) сектора в сферах дошкольного, общего и дополнительного образования, прошедших обучение  (повышение квалификации) по педагогическим специальностям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обраще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обраще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FC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483502">
        <w:trPr>
          <w:trHeight w:val="324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и деятельности социально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ориентированных некоммерческих организаций, осуществляющих деятельность в социальной сфере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организаций, оказывающих социальные услуги, в общем количестве организаций, оказывающих социальные услуги, всех форм собственности, %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социальной защиты, опеки и попечительства, труда и занятости Орловской области</w:t>
            </w:r>
          </w:p>
        </w:tc>
      </w:tr>
      <w:tr w:rsidR="009E4540" w:rsidRPr="00F30408" w:rsidTr="00483502">
        <w:trPr>
          <w:trHeight w:val="412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 </w:t>
            </w:r>
          </w:p>
        </w:tc>
      </w:tr>
      <w:tr w:rsidR="009E4540" w:rsidRPr="00F30408" w:rsidTr="00483502">
        <w:trPr>
          <w:trHeight w:val="211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Проведение совещаний, конференций, круглых столов, обучающих семинаров и других мероприятий для субъектов малого и среднего предпринимательства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Рост числа субъектов малого и среднего предпринимательства, воспользовавшихся услугами инфраструктуры поддержки,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инвестиционной деятельности Орловской области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483502">
        <w:trPr>
          <w:trHeight w:val="155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Оказание государственной финансовой поддержки субъектам малого и среднего предпринимательства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483502">
        <w:trPr>
          <w:trHeight w:val="126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Администрирование интернет-портала информационной поддержки орловского бизнеса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4835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Повышение информированности детей и молодежи о возможностях реализации технического и научно-технического потенциала; увеличение количества участников мероприятий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9E4540" w:rsidRPr="00F30408" w:rsidTr="00344C3C">
        <w:trPr>
          <w:trHeight w:val="201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Проведение конкурсных мероприятий с вручением почетных грамот Губернатора Орловской области, денежных поощрений с целью поддержки педагогических работников образовательных организаций и талантливой молодежи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Награждение не менее чем 5 почетными грамотами Губернатора Орловской области, присуждение не менее 5 денежных поощрений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области; ФГБОУ ВО «ОГУ имени И. С. Тургенева»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9E4540" w:rsidRPr="00F30408" w:rsidTr="006F0E15">
        <w:trPr>
          <w:trHeight w:val="213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цифровой грамотности населения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для обеспечения граждан компетенциями цифровой экономики, в том числе в интересах региональных компаний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трудоспособных жителей Орловской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Орловской области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35C5F">
        <w:trPr>
          <w:trHeight w:val="110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Перевод процессов оказания государственных услуг на облачную цифровую платформу либо интеграция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</w:tcPr>
          <w:p w:rsidR="009E4540" w:rsidRPr="00F30408" w:rsidRDefault="009E4540" w:rsidP="0048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Доля приоритетных государственных услуг и сервисов, оказываемых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483502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4540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83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200248">
        <w:trPr>
          <w:trHeight w:val="110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региональных ведомственных информационных систем с облачной цифровой платформой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4540" w:rsidRPr="00F30408" w:rsidRDefault="009E4540" w:rsidP="0020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органами исполнительной государственной власти специальной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рловской области и органами местного самоуправления  муниципальных образований Орловской области и их подведомственными организациями, соответствующих целевой модели цифровой трансформации 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проактивно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200248">
        <w:trPr>
          <w:trHeight w:val="722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Типизация государственных и муниципальных услуг, предоставляемых органами исполнительной государственной власти специальной компетенции Орловской области и органами местного самоуправления муниципальных образований Орловской области в соответствии с доведенной методикой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200248">
        <w:trPr>
          <w:trHeight w:val="429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Выявление одаренных детей и молодежи, развитие их талантов и способностей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88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 юношеского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88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в мероприятиях, направленных на развитие научно-технического творчества, чел.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равных условий доступа к информации о государственном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Опубликование и актуализация на Портале Орловской области и сайтах органов местного самоуправления муниципальных образований Орловской области в информационно-телекоммуникационной сети Интернет информации об объектах, находящихся в государственной собственности Орловской области, в муниципальной собственности, включенных в перечни для предоставления на льготных условиях субъектам малого и среднего предпринимательства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Размещение и ежегодная актуализация информации, да/нет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государственного имущества и земельных отношений Орловской области, органы местного самоуправления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 Орловской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Обеспечение мобильности трудовых ресурсов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200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B31C40">
        <w:trPr>
          <w:trHeight w:val="2677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Число граждан, воспользовавшихся услугой, чел.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социальной защиты, опеки и попечительства, труда и занятости Орловской области</w:t>
            </w:r>
          </w:p>
        </w:tc>
      </w:tr>
      <w:tr w:rsidR="009E4540" w:rsidRPr="00F30408" w:rsidTr="00B31C40">
        <w:trPr>
          <w:trHeight w:val="419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Содействие развитию и поддержке междисциплинарных исследований </w:t>
            </w:r>
          </w:p>
        </w:tc>
      </w:tr>
      <w:tr w:rsidR="009E4540" w:rsidRPr="00F30408" w:rsidTr="00B31C40">
        <w:trPr>
          <w:trHeight w:val="2834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 проектов, обладающих перспективами коммерциализации и промышленного масштабирования результатов, разработанных по итогам проведения междисциплинарных исследований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F30408">
              <w:rPr>
                <w:rFonts w:ascii="Times New Roman" w:hAnsi="Times New Roman"/>
                <w:sz w:val="24"/>
                <w:szCs w:val="24"/>
              </w:rPr>
              <w:t>междисциплинар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30408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Создание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промышленности и торговли Орловской области; Департамент экономического развития и инвестиционной деятельности Орловской области</w:t>
            </w:r>
          </w:p>
        </w:tc>
      </w:tr>
      <w:tr w:rsidR="009E4540" w:rsidRPr="00F30408" w:rsidTr="00B31C40">
        <w:trPr>
          <w:trHeight w:val="283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Формирование перечня потребностей промышленных организаций в технологиях и проектах, разрабатываемых научными организациями и образовательными организациями высшего образования, его актуализация (при необходимости)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B31C40">
        <w:trPr>
          <w:trHeight w:val="277"/>
        </w:trPr>
        <w:tc>
          <w:tcPr>
            <w:tcW w:w="817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B3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Развитие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</w:t>
            </w:r>
          </w:p>
        </w:tc>
      </w:tr>
      <w:tr w:rsidR="009E4540" w:rsidRPr="00F30408" w:rsidTr="00686BC4">
        <w:trPr>
          <w:trHeight w:val="296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 мастерства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обучающихся на рабочие профессии, чел.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2655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9E4540" w:rsidRPr="00F30408" w:rsidTr="00686BC4">
        <w:trPr>
          <w:trHeight w:val="1828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Функционирование организаций инновационной инфраструктуры Орловской области, в том числе Центра кластерного развития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Рост количества субъектов малого и среднего предпринимательства, получивших услуги организаций инновационной инфраструктуры,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9E4540" w:rsidRPr="00F30408" w:rsidTr="00686BC4">
        <w:trPr>
          <w:trHeight w:val="1272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6F0E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30408">
              <w:rPr>
                <w:rFonts w:ascii="Times New Roman" w:hAnsi="Times New Roman" w:cs="Times New Roman"/>
              </w:rPr>
              <w:t>Продвижение инновационной продукции и услуг малых и средних компаний на внешних рынках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информационной и организационной поддержки организациям субъекта по участию в федеральных проектах и программах государственной поддержки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86BC4">
        <w:trPr>
          <w:trHeight w:val="162"/>
        </w:trPr>
        <w:tc>
          <w:tcPr>
            <w:tcW w:w="81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Предоставление льгот по налогу на имущество организациям, осуществляющим функции управляющих компаний индустриальных парков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содействия в предоставлении консультаций по вопросам правовой охраны результатов интеллектуальной деятельности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Создание многопрофильного многофункционального общеобразовательного центра (кампуса) «Кадры для цифровой промышленности»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476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Содействие созданию и развитию институтов поддержки субъектов малого и среднего предпринимательства в инновационной деятельности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882E6C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Рост количества организаций </w:t>
            </w:r>
            <w:r>
              <w:rPr>
                <w:sz w:val="24"/>
                <w:szCs w:val="24"/>
              </w:rPr>
              <w:t xml:space="preserve">– </w:t>
            </w:r>
            <w:r w:rsidRPr="00F30408">
              <w:rPr>
                <w:sz w:val="24"/>
                <w:szCs w:val="24"/>
              </w:rPr>
              <w:t xml:space="preserve"> участников кластеров,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уровне, в том числе консультирование, организация бизнес-миссий,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86BC4">
        <w:trPr>
          <w:trHeight w:val="131"/>
        </w:trPr>
        <w:tc>
          <w:tcPr>
            <w:tcW w:w="81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86BC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86BC4">
        <w:trPr>
          <w:trHeight w:val="12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поддержка выставочной деятельности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Оказание содействия разработчикам инновационных проектов и компаниям в получении государственной поддержки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561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4540" w:rsidRPr="00F30408" w:rsidRDefault="009E4540" w:rsidP="00D4160C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Развитие Центра кластерного развития Орловской области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</w:tcPr>
          <w:p w:rsidR="009E4540" w:rsidRPr="00F30408" w:rsidRDefault="009E4540" w:rsidP="006F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413"/>
        </w:trPr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Повышение уровня финансовой грамотности населения и субъектов малого и среднего предпринимательства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Организация среди учащихся творческих конкурсов и викторин, направленных на формирование финансовой культуры и правильного финансового поведения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Рост числа жителей Орловской области, охваченных мероприятиями по повышению уровня финансовой грамотности, %</w:t>
            </w:r>
          </w:p>
        </w:tc>
        <w:tc>
          <w:tcPr>
            <w:tcW w:w="144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образования Орловской области, Департамент экономического развития и инвестиционной деятельности Орловской области, отделение по Орловской области ГУ Банка России по ЦФО (по согласованию)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Проведение открытых лекций для учащейся молодежи в рамках Всероссийской программы «Дни финансовой грамотности в учебных заведениях»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110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Поддержание деятельности региональной инновационной площадки «Основы финансовой грамотности»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rPr>
          <w:trHeight w:val="27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занятий в области финансовой грамотности с субъектами малого и среднего предпринимательства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86BC4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rPr>
          <w:trHeight w:val="130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 – получателями услуг инфраструктуры государственной поддержки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Обучение государственных гражданских служащих органов исполнительной государственной власти субъекта Российской Федерации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Обучение гражданских служащих, работников подведомственных организаций и учреждений на курсах повышения квалификации по основам государственной политики по развитию конкуренции и антимонопольного законодательства, в том числе законодательства по государственным и муниципальным закупкам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Количество гражданских служащих, прошедших повышение квалификации по основам государственной политики по развитию конкуренции и антимонопольного законодательства, нарастающим итогом, чел.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</w:t>
            </w:r>
          </w:p>
        </w:tc>
      </w:tr>
      <w:tr w:rsidR="009E4540" w:rsidRPr="00F30408" w:rsidTr="006F0E15">
        <w:tc>
          <w:tcPr>
            <w:tcW w:w="15276" w:type="dxa"/>
            <w:gridSpan w:val="8"/>
          </w:tcPr>
          <w:p w:rsidR="009E4540" w:rsidRPr="00F30408" w:rsidRDefault="009E4540" w:rsidP="0088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в государственных жилищных инспекциях горячей телефонной линии, а также электронной формы обратной связи в сети Интернет </w:t>
            </w:r>
          </w:p>
        </w:tc>
      </w:tr>
      <w:tr w:rsidR="009E4540" w:rsidRPr="00F3040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882E6C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горячей телефонной линии</w:t>
            </w:r>
            <w:r w:rsidRPr="00F30408">
              <w:rPr>
                <w:sz w:val="24"/>
                <w:szCs w:val="24"/>
              </w:rPr>
              <w:t xml:space="preserve"> государственной жилищной инспекции Орловской области и электронной формы обратной с</w:t>
            </w:r>
            <w:r>
              <w:rPr>
                <w:sz w:val="24"/>
                <w:szCs w:val="24"/>
              </w:rPr>
              <w:t xml:space="preserve">вязи на сайте инспекции в сети </w:t>
            </w:r>
            <w:r w:rsidRPr="00F30408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br/>
            </w:r>
            <w:r w:rsidRPr="00F30408">
              <w:rPr>
                <w:sz w:val="24"/>
                <w:szCs w:val="24"/>
              </w:rPr>
              <w:t xml:space="preserve">и через ГИС ЖКХ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E4540" w:rsidRPr="00F30408" w:rsidRDefault="009E4540" w:rsidP="00686BC4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 xml:space="preserve">Доля обращений, поступивших на горячую телефонную линию, через электронную форму обратной связи на сайте инспекции в сети Интернет и через ГИС ЖКХ, в общей доле обращений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Департамент надзорной и контрольной деятельности Орловской области</w:t>
            </w:r>
          </w:p>
        </w:tc>
      </w:tr>
      <w:tr w:rsidR="009E4540" w:rsidRPr="00F30408" w:rsidTr="00686BC4">
        <w:trPr>
          <w:trHeight w:val="146"/>
        </w:trPr>
        <w:tc>
          <w:tcPr>
            <w:tcW w:w="81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686BC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4540" w:rsidRPr="00F30408" w:rsidRDefault="009E4540" w:rsidP="00686BC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6F0E15">
        <w:trPr>
          <w:trHeight w:val="129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882E6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540" w:rsidRPr="00F30408" w:rsidRDefault="009E4540" w:rsidP="00882E6C">
            <w:pPr>
              <w:pStyle w:val="ab"/>
              <w:rPr>
                <w:sz w:val="24"/>
                <w:szCs w:val="24"/>
              </w:rPr>
            </w:pPr>
            <w:r w:rsidRPr="00F30408">
              <w:rPr>
                <w:sz w:val="24"/>
                <w:szCs w:val="24"/>
              </w:rPr>
              <w:t>граждан, %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40" w:rsidRPr="00F30408" w:rsidTr="00686BC4">
        <w:trPr>
          <w:trHeight w:val="683"/>
        </w:trPr>
        <w:tc>
          <w:tcPr>
            <w:tcW w:w="15276" w:type="dxa"/>
            <w:gridSpan w:val="8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  <w:lang w:eastAsia="en-US"/>
              </w:rPr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Орловской области</w:t>
            </w:r>
          </w:p>
        </w:tc>
      </w:tr>
      <w:tr w:rsidR="009E4540" w:rsidRPr="00F30408" w:rsidTr="002C7331">
        <w:trPr>
          <w:trHeight w:val="4265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3C3193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Проведение организационных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C7331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Обеспечение условия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области,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Орловской области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E4540" w:rsidRPr="00F30408" w:rsidTr="002C7331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C64499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Проведение организационных мероприятий, направленных на недопущение  препятствования в реализации гражданами права выбора организации для получения работниками заработной платы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C7331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Обеспечение условий для соблюдения прав работников при выборе (замене) кредитной организации для зачисления на открытый в ней счет заработной платы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области,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Орловской </w:t>
            </w:r>
          </w:p>
        </w:tc>
      </w:tr>
      <w:tr w:rsidR="009E4540" w:rsidRPr="00F30408" w:rsidTr="004E28D5">
        <w:trPr>
          <w:trHeight w:val="162"/>
        </w:trPr>
        <w:tc>
          <w:tcPr>
            <w:tcW w:w="817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4E28D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E28D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4E28D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30408" w:rsidTr="002C7331">
        <w:trPr>
          <w:trHeight w:val="113"/>
        </w:trPr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C64499">
            <w:pPr>
              <w:pStyle w:val="ab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4540" w:rsidRPr="00F30408" w:rsidRDefault="009E4540" w:rsidP="002C7331">
            <w:pPr>
              <w:pStyle w:val="ab"/>
              <w:rPr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E4540" w:rsidRPr="00F30408" w:rsidTr="00635C5F">
        <w:tc>
          <w:tcPr>
            <w:tcW w:w="15276" w:type="dxa"/>
            <w:gridSpan w:val="8"/>
            <w:vAlign w:val="center"/>
          </w:tcPr>
          <w:p w:rsidR="009E4540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9E4540" w:rsidRPr="00F30408" w:rsidTr="002C7331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540" w:rsidRPr="00F30408" w:rsidRDefault="009E4540" w:rsidP="00C64499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Проведение организационных мероприятий, направленных на недопущение  направления органами власти и местного самоуправления субъекта Российской Федерации,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 (например, в рамках получения услуг «зарплатного» проекта)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9E4540" w:rsidRPr="00F30408" w:rsidRDefault="009E4540" w:rsidP="002C7331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Обеспечение конкурентных условий доступа финансовых организаций к предоставлению финансовых услуг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Органы исполнительной государственной власти специальной компетенции Орловской области, органы местного самоуправления (по согласованию)</w:t>
            </w:r>
          </w:p>
        </w:tc>
      </w:tr>
      <w:tr w:rsidR="009E4540" w:rsidRPr="00F251C8" w:rsidTr="006F0E15">
        <w:tc>
          <w:tcPr>
            <w:tcW w:w="81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540" w:rsidRPr="00F30408" w:rsidRDefault="009E4540" w:rsidP="004E28D5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 xml:space="preserve">Проведение анализа соглашений, заключаемых между органами исполнительной государственной власти специальной компетенции 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F0E15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E4540" w:rsidRPr="00F30408" w:rsidRDefault="009E4540" w:rsidP="004E28D5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 xml:space="preserve">Обеспечение конкурентных условий и возможностей для всех финансовых организаций при 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F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государственной власти специальной компетенции </w:t>
            </w:r>
          </w:p>
        </w:tc>
      </w:tr>
      <w:tr w:rsidR="009E4540" w:rsidRPr="00F251C8" w:rsidTr="006F0E15">
        <w:tc>
          <w:tcPr>
            <w:tcW w:w="817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E4540" w:rsidRPr="00F30408" w:rsidRDefault="009E4540" w:rsidP="00635C5F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35C5F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4540" w:rsidRPr="00F30408" w:rsidRDefault="009E4540" w:rsidP="00635C5F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40" w:rsidRPr="00F251C8" w:rsidTr="004E28D5">
        <w:trPr>
          <w:trHeight w:val="7175"/>
        </w:trPr>
        <w:tc>
          <w:tcPr>
            <w:tcW w:w="81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540" w:rsidRPr="00F30408" w:rsidRDefault="009E4540" w:rsidP="004E28D5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Орловской области и органами местного самоуправления, иными</w:t>
            </w:r>
          </w:p>
          <w:p w:rsidR="009E4540" w:rsidRPr="00F30408" w:rsidRDefault="009E4540" w:rsidP="00882E6C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организациями, осуществляющими функции указанных органов и участвующи</w:t>
            </w:r>
            <w:r>
              <w:rPr>
                <w:color w:val="auto"/>
                <w:sz w:val="24"/>
                <w:szCs w:val="24"/>
              </w:rPr>
              <w:t>ми</w:t>
            </w:r>
            <w:r w:rsidRPr="00F30408">
              <w:rPr>
                <w:color w:val="auto"/>
                <w:sz w:val="24"/>
                <w:szCs w:val="24"/>
              </w:rPr>
              <w:t xml:space="preserve">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2126" w:type="dxa"/>
            <w:vAlign w:val="center"/>
          </w:tcPr>
          <w:p w:rsidR="009E4540" w:rsidRPr="00F30408" w:rsidRDefault="009E4540" w:rsidP="00686BC4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540" w:rsidRPr="00F30408" w:rsidRDefault="009E4540" w:rsidP="004E28D5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организации взаимодействия с такими финансовыми</w:t>
            </w:r>
          </w:p>
          <w:p w:rsidR="009E4540" w:rsidRPr="00F30408" w:rsidRDefault="009E4540" w:rsidP="00C64499">
            <w:pPr>
              <w:pStyle w:val="ab"/>
              <w:rPr>
                <w:color w:val="auto"/>
                <w:sz w:val="24"/>
                <w:szCs w:val="24"/>
              </w:rPr>
            </w:pPr>
            <w:r w:rsidRPr="00F30408">
              <w:rPr>
                <w:color w:val="auto"/>
                <w:sz w:val="24"/>
                <w:szCs w:val="24"/>
              </w:rPr>
              <w:t>организациями</w:t>
            </w:r>
          </w:p>
        </w:tc>
        <w:tc>
          <w:tcPr>
            <w:tcW w:w="1446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E4540" w:rsidRPr="00F30408" w:rsidRDefault="009E4540" w:rsidP="0068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08">
              <w:rPr>
                <w:rFonts w:ascii="Times New Roman" w:hAnsi="Times New Roman"/>
                <w:sz w:val="24"/>
                <w:szCs w:val="24"/>
              </w:rPr>
              <w:t>Орловской области, органы местного</w:t>
            </w:r>
          </w:p>
          <w:p w:rsidR="009E4540" w:rsidRPr="00F30408" w:rsidRDefault="009E4540" w:rsidP="004E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ловской области</w:t>
            </w:r>
            <w:r w:rsidRPr="00F304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84254" w:rsidRPr="00F251C8" w:rsidRDefault="00584254" w:rsidP="00E234FF">
      <w:pPr>
        <w:jc w:val="center"/>
        <w:rPr>
          <w:rFonts w:ascii="Times New Roman" w:hAnsi="Times New Roman"/>
          <w:color w:val="00FF00"/>
          <w:sz w:val="28"/>
          <w:szCs w:val="28"/>
        </w:rPr>
      </w:pPr>
    </w:p>
    <w:sectPr w:rsidR="00584254" w:rsidRPr="00F251C8" w:rsidSect="00663907">
      <w:headerReference w:type="default" r:id="rId31"/>
      <w:pgSz w:w="16838" w:h="11906" w:orient="landscape"/>
      <w:pgMar w:top="17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42" w:rsidRDefault="00F16E42" w:rsidP="0006763A">
      <w:pPr>
        <w:spacing w:after="0" w:line="240" w:lineRule="auto"/>
      </w:pPr>
      <w:r>
        <w:separator/>
      </w:r>
    </w:p>
  </w:endnote>
  <w:endnote w:type="continuationSeparator" w:id="0">
    <w:p w:rsidR="00F16E42" w:rsidRDefault="00F16E42" w:rsidP="000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42" w:rsidRDefault="00F16E42" w:rsidP="0006763A">
      <w:pPr>
        <w:spacing w:after="0" w:line="240" w:lineRule="auto"/>
      </w:pPr>
      <w:r>
        <w:separator/>
      </w:r>
    </w:p>
  </w:footnote>
  <w:footnote w:type="continuationSeparator" w:id="0">
    <w:p w:rsidR="00F16E42" w:rsidRDefault="00F16E42" w:rsidP="000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5F" w:rsidRPr="00FF3240" w:rsidRDefault="008D1518">
    <w:pPr>
      <w:pStyle w:val="a4"/>
      <w:jc w:val="center"/>
      <w:rPr>
        <w:rFonts w:ascii="Times New Roman" w:hAnsi="Times New Roman"/>
        <w:sz w:val="20"/>
        <w:szCs w:val="20"/>
      </w:rPr>
    </w:pPr>
    <w:r w:rsidRPr="00FF3240">
      <w:rPr>
        <w:rFonts w:ascii="Times New Roman" w:hAnsi="Times New Roman"/>
        <w:sz w:val="20"/>
        <w:szCs w:val="20"/>
      </w:rPr>
      <w:fldChar w:fldCharType="begin"/>
    </w:r>
    <w:r w:rsidR="00635C5F" w:rsidRPr="00FF3240">
      <w:rPr>
        <w:rFonts w:ascii="Times New Roman" w:hAnsi="Times New Roman"/>
        <w:sz w:val="20"/>
        <w:szCs w:val="20"/>
      </w:rPr>
      <w:instrText>PAGE   \* MERGEFORMAT</w:instrText>
    </w:r>
    <w:r w:rsidRPr="00FF3240">
      <w:rPr>
        <w:rFonts w:ascii="Times New Roman" w:hAnsi="Times New Roman"/>
        <w:sz w:val="20"/>
        <w:szCs w:val="20"/>
      </w:rPr>
      <w:fldChar w:fldCharType="separate"/>
    </w:r>
    <w:r w:rsidR="000B7614">
      <w:rPr>
        <w:rFonts w:ascii="Times New Roman" w:hAnsi="Times New Roman"/>
        <w:noProof/>
        <w:sz w:val="20"/>
        <w:szCs w:val="20"/>
      </w:rPr>
      <w:t>2</w:t>
    </w:r>
    <w:r w:rsidRPr="00FF3240">
      <w:rPr>
        <w:rFonts w:ascii="Times New Roman" w:hAnsi="Times New Roman"/>
        <w:sz w:val="20"/>
        <w:szCs w:val="20"/>
      </w:rPr>
      <w:fldChar w:fldCharType="end"/>
    </w:r>
  </w:p>
  <w:p w:rsidR="00635C5F" w:rsidRDefault="00635C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104"/>
    <w:multiLevelType w:val="hybridMultilevel"/>
    <w:tmpl w:val="560CA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8F"/>
    <w:rsid w:val="00006148"/>
    <w:rsid w:val="000109D4"/>
    <w:rsid w:val="00014B5D"/>
    <w:rsid w:val="00023D3A"/>
    <w:rsid w:val="00024BCF"/>
    <w:rsid w:val="00047D92"/>
    <w:rsid w:val="00050A36"/>
    <w:rsid w:val="00054DAB"/>
    <w:rsid w:val="00060767"/>
    <w:rsid w:val="00060EEB"/>
    <w:rsid w:val="00065F22"/>
    <w:rsid w:val="0006763A"/>
    <w:rsid w:val="00070BFF"/>
    <w:rsid w:val="00075441"/>
    <w:rsid w:val="00082AAC"/>
    <w:rsid w:val="00083835"/>
    <w:rsid w:val="00091A8B"/>
    <w:rsid w:val="00094EFA"/>
    <w:rsid w:val="000A0E02"/>
    <w:rsid w:val="000B2D36"/>
    <w:rsid w:val="000B7614"/>
    <w:rsid w:val="000B7DBC"/>
    <w:rsid w:val="000D297E"/>
    <w:rsid w:val="000E1CA0"/>
    <w:rsid w:val="000E2CD7"/>
    <w:rsid w:val="000F0AB2"/>
    <w:rsid w:val="0010025B"/>
    <w:rsid w:val="00116ADE"/>
    <w:rsid w:val="00120F45"/>
    <w:rsid w:val="0012105F"/>
    <w:rsid w:val="001213E4"/>
    <w:rsid w:val="0012371D"/>
    <w:rsid w:val="00125ABC"/>
    <w:rsid w:val="001448BA"/>
    <w:rsid w:val="001511AA"/>
    <w:rsid w:val="00151997"/>
    <w:rsid w:val="00161658"/>
    <w:rsid w:val="0016220F"/>
    <w:rsid w:val="00171319"/>
    <w:rsid w:val="00173F84"/>
    <w:rsid w:val="00174E33"/>
    <w:rsid w:val="001777FE"/>
    <w:rsid w:val="001778C7"/>
    <w:rsid w:val="00187F25"/>
    <w:rsid w:val="0019504C"/>
    <w:rsid w:val="001976BB"/>
    <w:rsid w:val="001A04E4"/>
    <w:rsid w:val="001A449D"/>
    <w:rsid w:val="001A64AD"/>
    <w:rsid w:val="001A689B"/>
    <w:rsid w:val="001B2C68"/>
    <w:rsid w:val="001C46BD"/>
    <w:rsid w:val="001D38FA"/>
    <w:rsid w:val="001E1918"/>
    <w:rsid w:val="001E324D"/>
    <w:rsid w:val="001E384D"/>
    <w:rsid w:val="001E5A76"/>
    <w:rsid w:val="001F0A2E"/>
    <w:rsid w:val="00200248"/>
    <w:rsid w:val="00201204"/>
    <w:rsid w:val="002025DA"/>
    <w:rsid w:val="002025DC"/>
    <w:rsid w:val="00212E5D"/>
    <w:rsid w:val="0021358E"/>
    <w:rsid w:val="00214F2F"/>
    <w:rsid w:val="00214F99"/>
    <w:rsid w:val="00216F1F"/>
    <w:rsid w:val="00240585"/>
    <w:rsid w:val="00240797"/>
    <w:rsid w:val="002425BE"/>
    <w:rsid w:val="00247D88"/>
    <w:rsid w:val="00252A64"/>
    <w:rsid w:val="00261495"/>
    <w:rsid w:val="002643EA"/>
    <w:rsid w:val="00271B13"/>
    <w:rsid w:val="0028164C"/>
    <w:rsid w:val="00297827"/>
    <w:rsid w:val="002A0F32"/>
    <w:rsid w:val="002B63DE"/>
    <w:rsid w:val="002C2DFB"/>
    <w:rsid w:val="002C7331"/>
    <w:rsid w:val="002D2275"/>
    <w:rsid w:val="002D40CB"/>
    <w:rsid w:val="002D40DD"/>
    <w:rsid w:val="002D75B3"/>
    <w:rsid w:val="002F15E0"/>
    <w:rsid w:val="002F24DA"/>
    <w:rsid w:val="002F380C"/>
    <w:rsid w:val="002F6F8E"/>
    <w:rsid w:val="00301599"/>
    <w:rsid w:val="0030394A"/>
    <w:rsid w:val="00307A58"/>
    <w:rsid w:val="00307AD0"/>
    <w:rsid w:val="00307C85"/>
    <w:rsid w:val="00320E92"/>
    <w:rsid w:val="00321F7F"/>
    <w:rsid w:val="0033480F"/>
    <w:rsid w:val="00341FA8"/>
    <w:rsid w:val="00344C3C"/>
    <w:rsid w:val="00346D3E"/>
    <w:rsid w:val="00366DD0"/>
    <w:rsid w:val="0036748A"/>
    <w:rsid w:val="003675AE"/>
    <w:rsid w:val="003705BC"/>
    <w:rsid w:val="00372F46"/>
    <w:rsid w:val="003829D4"/>
    <w:rsid w:val="00386C47"/>
    <w:rsid w:val="003920D3"/>
    <w:rsid w:val="0039532C"/>
    <w:rsid w:val="003972E2"/>
    <w:rsid w:val="00397A4B"/>
    <w:rsid w:val="003A3B4D"/>
    <w:rsid w:val="003B1485"/>
    <w:rsid w:val="003B5890"/>
    <w:rsid w:val="003B75A7"/>
    <w:rsid w:val="003C3193"/>
    <w:rsid w:val="003C4191"/>
    <w:rsid w:val="003C432F"/>
    <w:rsid w:val="003C4D6E"/>
    <w:rsid w:val="003D05DB"/>
    <w:rsid w:val="003D6383"/>
    <w:rsid w:val="003E5E17"/>
    <w:rsid w:val="003E7251"/>
    <w:rsid w:val="003F0B51"/>
    <w:rsid w:val="003F1EB6"/>
    <w:rsid w:val="003F2568"/>
    <w:rsid w:val="003F67A1"/>
    <w:rsid w:val="003F7E20"/>
    <w:rsid w:val="00403157"/>
    <w:rsid w:val="00406524"/>
    <w:rsid w:val="00410DAB"/>
    <w:rsid w:val="00411715"/>
    <w:rsid w:val="00421F21"/>
    <w:rsid w:val="00427936"/>
    <w:rsid w:val="004410F0"/>
    <w:rsid w:val="00445648"/>
    <w:rsid w:val="00450281"/>
    <w:rsid w:val="00470761"/>
    <w:rsid w:val="004750D8"/>
    <w:rsid w:val="00475763"/>
    <w:rsid w:val="00483502"/>
    <w:rsid w:val="004926FC"/>
    <w:rsid w:val="004A0A72"/>
    <w:rsid w:val="004B66F1"/>
    <w:rsid w:val="004C10A6"/>
    <w:rsid w:val="004C422F"/>
    <w:rsid w:val="004C4627"/>
    <w:rsid w:val="004C66DC"/>
    <w:rsid w:val="004E0ABB"/>
    <w:rsid w:val="004E0E73"/>
    <w:rsid w:val="004E26E4"/>
    <w:rsid w:val="004E28D5"/>
    <w:rsid w:val="00516940"/>
    <w:rsid w:val="00531690"/>
    <w:rsid w:val="00541C1E"/>
    <w:rsid w:val="005458C8"/>
    <w:rsid w:val="00545FCD"/>
    <w:rsid w:val="00550B80"/>
    <w:rsid w:val="00552B41"/>
    <w:rsid w:val="00556F40"/>
    <w:rsid w:val="00560D85"/>
    <w:rsid w:val="0056358A"/>
    <w:rsid w:val="00566C3B"/>
    <w:rsid w:val="005702D1"/>
    <w:rsid w:val="00572A85"/>
    <w:rsid w:val="00573347"/>
    <w:rsid w:val="00574F79"/>
    <w:rsid w:val="0057769C"/>
    <w:rsid w:val="00581CBB"/>
    <w:rsid w:val="00583D54"/>
    <w:rsid w:val="00584254"/>
    <w:rsid w:val="00591F28"/>
    <w:rsid w:val="005A5605"/>
    <w:rsid w:val="005B182B"/>
    <w:rsid w:val="005B187A"/>
    <w:rsid w:val="005B56BE"/>
    <w:rsid w:val="005C3128"/>
    <w:rsid w:val="005E57E6"/>
    <w:rsid w:val="005F13BA"/>
    <w:rsid w:val="005F52C9"/>
    <w:rsid w:val="00600EE8"/>
    <w:rsid w:val="006143E2"/>
    <w:rsid w:val="006145F4"/>
    <w:rsid w:val="006163D4"/>
    <w:rsid w:val="006228E6"/>
    <w:rsid w:val="00635C5F"/>
    <w:rsid w:val="00645E9B"/>
    <w:rsid w:val="0064770B"/>
    <w:rsid w:val="006552E7"/>
    <w:rsid w:val="006559B9"/>
    <w:rsid w:val="00655D65"/>
    <w:rsid w:val="00663907"/>
    <w:rsid w:val="006668EE"/>
    <w:rsid w:val="00675557"/>
    <w:rsid w:val="00686BC4"/>
    <w:rsid w:val="006919A3"/>
    <w:rsid w:val="00697A7B"/>
    <w:rsid w:val="006B3F0A"/>
    <w:rsid w:val="006C189E"/>
    <w:rsid w:val="006C6649"/>
    <w:rsid w:val="006D5B2B"/>
    <w:rsid w:val="006D5DEF"/>
    <w:rsid w:val="006D6CFE"/>
    <w:rsid w:val="006E095D"/>
    <w:rsid w:val="006E153D"/>
    <w:rsid w:val="006E1F90"/>
    <w:rsid w:val="006E22AC"/>
    <w:rsid w:val="006E289B"/>
    <w:rsid w:val="006E40EB"/>
    <w:rsid w:val="006E7B41"/>
    <w:rsid w:val="006F0E15"/>
    <w:rsid w:val="006F3440"/>
    <w:rsid w:val="006F375E"/>
    <w:rsid w:val="006F4D0F"/>
    <w:rsid w:val="006F591F"/>
    <w:rsid w:val="00706517"/>
    <w:rsid w:val="00707A57"/>
    <w:rsid w:val="0071414D"/>
    <w:rsid w:val="00717560"/>
    <w:rsid w:val="0072474D"/>
    <w:rsid w:val="0072597B"/>
    <w:rsid w:val="00725A70"/>
    <w:rsid w:val="00726895"/>
    <w:rsid w:val="00760D55"/>
    <w:rsid w:val="00762031"/>
    <w:rsid w:val="00777A8C"/>
    <w:rsid w:val="00780ABE"/>
    <w:rsid w:val="00791C63"/>
    <w:rsid w:val="00792091"/>
    <w:rsid w:val="00793451"/>
    <w:rsid w:val="00794CC7"/>
    <w:rsid w:val="00794EE3"/>
    <w:rsid w:val="00794FB6"/>
    <w:rsid w:val="00797D03"/>
    <w:rsid w:val="007B62B0"/>
    <w:rsid w:val="007B6976"/>
    <w:rsid w:val="007C04EE"/>
    <w:rsid w:val="007C0C49"/>
    <w:rsid w:val="007C3350"/>
    <w:rsid w:val="007E0D95"/>
    <w:rsid w:val="007F47FD"/>
    <w:rsid w:val="007F59A0"/>
    <w:rsid w:val="007F5A39"/>
    <w:rsid w:val="00805A60"/>
    <w:rsid w:val="00810D1A"/>
    <w:rsid w:val="00812439"/>
    <w:rsid w:val="00814A47"/>
    <w:rsid w:val="00821719"/>
    <w:rsid w:val="00833057"/>
    <w:rsid w:val="00843A8F"/>
    <w:rsid w:val="00851B4F"/>
    <w:rsid w:val="00854332"/>
    <w:rsid w:val="008564C5"/>
    <w:rsid w:val="00860826"/>
    <w:rsid w:val="0086203C"/>
    <w:rsid w:val="00863BBF"/>
    <w:rsid w:val="00866A51"/>
    <w:rsid w:val="00867358"/>
    <w:rsid w:val="00867E7D"/>
    <w:rsid w:val="0087238B"/>
    <w:rsid w:val="00882E6C"/>
    <w:rsid w:val="008858D3"/>
    <w:rsid w:val="008950C8"/>
    <w:rsid w:val="00896862"/>
    <w:rsid w:val="008B583A"/>
    <w:rsid w:val="008C24E4"/>
    <w:rsid w:val="008C3960"/>
    <w:rsid w:val="008D0217"/>
    <w:rsid w:val="008D1518"/>
    <w:rsid w:val="008D3061"/>
    <w:rsid w:val="008D539B"/>
    <w:rsid w:val="008E3B06"/>
    <w:rsid w:val="008E57EB"/>
    <w:rsid w:val="008E667F"/>
    <w:rsid w:val="008E7D45"/>
    <w:rsid w:val="008F6670"/>
    <w:rsid w:val="0090396A"/>
    <w:rsid w:val="00904711"/>
    <w:rsid w:val="00906446"/>
    <w:rsid w:val="009069AB"/>
    <w:rsid w:val="009246B4"/>
    <w:rsid w:val="0092517E"/>
    <w:rsid w:val="009308F6"/>
    <w:rsid w:val="009338CE"/>
    <w:rsid w:val="00935CE8"/>
    <w:rsid w:val="00951AB9"/>
    <w:rsid w:val="009627AF"/>
    <w:rsid w:val="009632A1"/>
    <w:rsid w:val="009647C0"/>
    <w:rsid w:val="00972D6A"/>
    <w:rsid w:val="009763F5"/>
    <w:rsid w:val="009835B1"/>
    <w:rsid w:val="00985219"/>
    <w:rsid w:val="009860A9"/>
    <w:rsid w:val="00987FE2"/>
    <w:rsid w:val="00991EB4"/>
    <w:rsid w:val="00994A37"/>
    <w:rsid w:val="009B4556"/>
    <w:rsid w:val="009B682E"/>
    <w:rsid w:val="009D1D1E"/>
    <w:rsid w:val="009D3AF1"/>
    <w:rsid w:val="009D4B2B"/>
    <w:rsid w:val="009E1BC2"/>
    <w:rsid w:val="009E4540"/>
    <w:rsid w:val="009E50E5"/>
    <w:rsid w:val="009F372C"/>
    <w:rsid w:val="00A020E9"/>
    <w:rsid w:val="00A03F67"/>
    <w:rsid w:val="00A108B5"/>
    <w:rsid w:val="00A10F95"/>
    <w:rsid w:val="00A12AF1"/>
    <w:rsid w:val="00A20805"/>
    <w:rsid w:val="00A3003E"/>
    <w:rsid w:val="00A44509"/>
    <w:rsid w:val="00A5781A"/>
    <w:rsid w:val="00A66509"/>
    <w:rsid w:val="00A74FDD"/>
    <w:rsid w:val="00AC7450"/>
    <w:rsid w:val="00AD2DBC"/>
    <w:rsid w:val="00AD3CE1"/>
    <w:rsid w:val="00AD68FE"/>
    <w:rsid w:val="00AE3D9C"/>
    <w:rsid w:val="00AE49AE"/>
    <w:rsid w:val="00AE680B"/>
    <w:rsid w:val="00AF11F6"/>
    <w:rsid w:val="00AF33A0"/>
    <w:rsid w:val="00AF71C3"/>
    <w:rsid w:val="00B00C2F"/>
    <w:rsid w:val="00B02A07"/>
    <w:rsid w:val="00B05551"/>
    <w:rsid w:val="00B06CC8"/>
    <w:rsid w:val="00B11E4E"/>
    <w:rsid w:val="00B1490F"/>
    <w:rsid w:val="00B17877"/>
    <w:rsid w:val="00B31C40"/>
    <w:rsid w:val="00B406D2"/>
    <w:rsid w:val="00B40FA0"/>
    <w:rsid w:val="00B45DFF"/>
    <w:rsid w:val="00B52F3B"/>
    <w:rsid w:val="00B53B2D"/>
    <w:rsid w:val="00B555A6"/>
    <w:rsid w:val="00B568EE"/>
    <w:rsid w:val="00B57FBA"/>
    <w:rsid w:val="00B6155E"/>
    <w:rsid w:val="00B6368E"/>
    <w:rsid w:val="00B670DD"/>
    <w:rsid w:val="00B67CFF"/>
    <w:rsid w:val="00B7180F"/>
    <w:rsid w:val="00B80C8F"/>
    <w:rsid w:val="00B8176E"/>
    <w:rsid w:val="00B81893"/>
    <w:rsid w:val="00B8793F"/>
    <w:rsid w:val="00B90A8E"/>
    <w:rsid w:val="00B94410"/>
    <w:rsid w:val="00BA5038"/>
    <w:rsid w:val="00BB1B85"/>
    <w:rsid w:val="00BC2670"/>
    <w:rsid w:val="00BC65F0"/>
    <w:rsid w:val="00BD0C75"/>
    <w:rsid w:val="00BD1067"/>
    <w:rsid w:val="00BD21BD"/>
    <w:rsid w:val="00BD77D6"/>
    <w:rsid w:val="00BE56AA"/>
    <w:rsid w:val="00BF589A"/>
    <w:rsid w:val="00BF661E"/>
    <w:rsid w:val="00C04DF4"/>
    <w:rsid w:val="00C11510"/>
    <w:rsid w:val="00C23A72"/>
    <w:rsid w:val="00C24EB2"/>
    <w:rsid w:val="00C26182"/>
    <w:rsid w:val="00C30D52"/>
    <w:rsid w:val="00C3670B"/>
    <w:rsid w:val="00C477E8"/>
    <w:rsid w:val="00C5225B"/>
    <w:rsid w:val="00C5365D"/>
    <w:rsid w:val="00C56BD3"/>
    <w:rsid w:val="00C64499"/>
    <w:rsid w:val="00C67998"/>
    <w:rsid w:val="00C72138"/>
    <w:rsid w:val="00C77E9C"/>
    <w:rsid w:val="00C86497"/>
    <w:rsid w:val="00C9334B"/>
    <w:rsid w:val="00C940F3"/>
    <w:rsid w:val="00CA042E"/>
    <w:rsid w:val="00CA084D"/>
    <w:rsid w:val="00CA259E"/>
    <w:rsid w:val="00CB0B6E"/>
    <w:rsid w:val="00CC7FCC"/>
    <w:rsid w:val="00CD4F83"/>
    <w:rsid w:val="00CD6CD2"/>
    <w:rsid w:val="00CF3329"/>
    <w:rsid w:val="00CF37C0"/>
    <w:rsid w:val="00CF41DE"/>
    <w:rsid w:val="00CF686B"/>
    <w:rsid w:val="00D01EF6"/>
    <w:rsid w:val="00D02171"/>
    <w:rsid w:val="00D1236A"/>
    <w:rsid w:val="00D1610D"/>
    <w:rsid w:val="00D202CF"/>
    <w:rsid w:val="00D25B5B"/>
    <w:rsid w:val="00D31549"/>
    <w:rsid w:val="00D32D83"/>
    <w:rsid w:val="00D34186"/>
    <w:rsid w:val="00D375A9"/>
    <w:rsid w:val="00D4160C"/>
    <w:rsid w:val="00D434F0"/>
    <w:rsid w:val="00D568A0"/>
    <w:rsid w:val="00D63243"/>
    <w:rsid w:val="00D67465"/>
    <w:rsid w:val="00D81AAC"/>
    <w:rsid w:val="00D9795E"/>
    <w:rsid w:val="00DA45FB"/>
    <w:rsid w:val="00DA772B"/>
    <w:rsid w:val="00DB6FE2"/>
    <w:rsid w:val="00DB791C"/>
    <w:rsid w:val="00DD0734"/>
    <w:rsid w:val="00DD5F8F"/>
    <w:rsid w:val="00DE4A65"/>
    <w:rsid w:val="00DF0C79"/>
    <w:rsid w:val="00DF1483"/>
    <w:rsid w:val="00DF22D5"/>
    <w:rsid w:val="00DF36A7"/>
    <w:rsid w:val="00E02A0D"/>
    <w:rsid w:val="00E13D60"/>
    <w:rsid w:val="00E234FF"/>
    <w:rsid w:val="00E25D8B"/>
    <w:rsid w:val="00E33115"/>
    <w:rsid w:val="00E37198"/>
    <w:rsid w:val="00E431D1"/>
    <w:rsid w:val="00E45D59"/>
    <w:rsid w:val="00E62B13"/>
    <w:rsid w:val="00E717A7"/>
    <w:rsid w:val="00E719E7"/>
    <w:rsid w:val="00E71AC9"/>
    <w:rsid w:val="00E74C32"/>
    <w:rsid w:val="00E75383"/>
    <w:rsid w:val="00E816B6"/>
    <w:rsid w:val="00E833C9"/>
    <w:rsid w:val="00E85FB1"/>
    <w:rsid w:val="00E91954"/>
    <w:rsid w:val="00E92F4C"/>
    <w:rsid w:val="00E945E2"/>
    <w:rsid w:val="00EA2973"/>
    <w:rsid w:val="00EA387B"/>
    <w:rsid w:val="00EA50A0"/>
    <w:rsid w:val="00EA5A86"/>
    <w:rsid w:val="00EB4278"/>
    <w:rsid w:val="00EC5C27"/>
    <w:rsid w:val="00ED305A"/>
    <w:rsid w:val="00ED48C1"/>
    <w:rsid w:val="00ED683C"/>
    <w:rsid w:val="00EE3572"/>
    <w:rsid w:val="00EF34CD"/>
    <w:rsid w:val="00EF578B"/>
    <w:rsid w:val="00EF61DA"/>
    <w:rsid w:val="00F00795"/>
    <w:rsid w:val="00F007D3"/>
    <w:rsid w:val="00F07981"/>
    <w:rsid w:val="00F1186E"/>
    <w:rsid w:val="00F118A1"/>
    <w:rsid w:val="00F123B3"/>
    <w:rsid w:val="00F13D70"/>
    <w:rsid w:val="00F16E42"/>
    <w:rsid w:val="00F17B7A"/>
    <w:rsid w:val="00F17F6B"/>
    <w:rsid w:val="00F23AD3"/>
    <w:rsid w:val="00F2514E"/>
    <w:rsid w:val="00F251C8"/>
    <w:rsid w:val="00F30408"/>
    <w:rsid w:val="00F3152D"/>
    <w:rsid w:val="00F369F0"/>
    <w:rsid w:val="00F42CAB"/>
    <w:rsid w:val="00F447C7"/>
    <w:rsid w:val="00F51F7E"/>
    <w:rsid w:val="00F53BAA"/>
    <w:rsid w:val="00F55B03"/>
    <w:rsid w:val="00F60085"/>
    <w:rsid w:val="00F606D6"/>
    <w:rsid w:val="00F672FD"/>
    <w:rsid w:val="00F704BF"/>
    <w:rsid w:val="00F71115"/>
    <w:rsid w:val="00F74FCB"/>
    <w:rsid w:val="00F81A56"/>
    <w:rsid w:val="00F90F4C"/>
    <w:rsid w:val="00F9258B"/>
    <w:rsid w:val="00FA406D"/>
    <w:rsid w:val="00FA5D39"/>
    <w:rsid w:val="00FB0D57"/>
    <w:rsid w:val="00FC0963"/>
    <w:rsid w:val="00FC60B0"/>
    <w:rsid w:val="00FC731B"/>
    <w:rsid w:val="00FD0B8F"/>
    <w:rsid w:val="00FE25A3"/>
    <w:rsid w:val="00FE408A"/>
    <w:rsid w:val="00FF1CA5"/>
    <w:rsid w:val="00FF21A1"/>
    <w:rsid w:val="00FF3240"/>
    <w:rsid w:val="00FF39F6"/>
    <w:rsid w:val="00FF4618"/>
    <w:rsid w:val="00FF605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05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05A60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0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6763A"/>
    <w:rPr>
      <w:rFonts w:cs="Times New Roman"/>
    </w:rPr>
  </w:style>
  <w:style w:type="paragraph" w:styleId="a6">
    <w:name w:val="footer"/>
    <w:basedOn w:val="a"/>
    <w:link w:val="a7"/>
    <w:uiPriority w:val="99"/>
    <w:rsid w:val="000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676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763A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D123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"/>
    <w:uiPriority w:val="99"/>
    <w:rsid w:val="00E92F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E725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Гипертекстовая ссылка"/>
    <w:uiPriority w:val="99"/>
    <w:rsid w:val="00406524"/>
    <w:rPr>
      <w:rFonts w:cs="Times New Roman"/>
      <w:color w:val="106BBE"/>
    </w:rPr>
  </w:style>
  <w:style w:type="character" w:customStyle="1" w:styleId="elementhandle">
    <w:name w:val="element_handle"/>
    <w:uiPriority w:val="99"/>
    <w:rsid w:val="009F372C"/>
  </w:style>
  <w:style w:type="paragraph" w:customStyle="1" w:styleId="Default">
    <w:name w:val="Default"/>
    <w:uiPriority w:val="99"/>
    <w:rsid w:val="00DD5F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C56BD3"/>
    <w:rPr>
      <w:rFonts w:cs="Times New Roman"/>
      <w:color w:val="0000FF"/>
      <w:u w:val="single"/>
    </w:rPr>
  </w:style>
  <w:style w:type="character" w:customStyle="1" w:styleId="4">
    <w:name w:val="Основной текст (4) + Полужирный"/>
    <w:uiPriority w:val="99"/>
    <w:rsid w:val="00A12A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4C4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422F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0" TargetMode="External"/><Relationship Id="rId13" Type="http://schemas.openxmlformats.org/officeDocument/2006/relationships/hyperlink" Target="https://ru.wikipedia.org/wiki/%D0%92%D1%8B%D1%82%D0%B5%D0%B1%D0%B5%D1%82%D1%8C" TargetMode="External"/><Relationship Id="rId18" Type="http://schemas.openxmlformats.org/officeDocument/2006/relationships/hyperlink" Target="https://ru.wikipedia.org/w/index.php?title=%D0%A0%D1%8B%D0%B1%D0%BD%D0%B8%D1%86%D0%B0_(%D1%80%D0%B5%D0%BA%D0%B0)&amp;action=edit&amp;redlink=1" TargetMode="External"/><Relationship Id="rId26" Type="http://schemas.openxmlformats.org/officeDocument/2006/relationships/hyperlink" Target="https://ru.wikipedia.org/wiki/%D0%9D%D0%B0%D0%B2%D0%BB%D1%8F_(%D1%80%D0%B5%D0%BA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1%80%D1%83%D0%B4%D1%8B_(%D1%80%D0%B5%D0%BA%D0%B0)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5%D1%80%D1%83%D1%87%D1%8C" TargetMode="External"/><Relationship Id="rId17" Type="http://schemas.openxmlformats.org/officeDocument/2006/relationships/hyperlink" Target="https://ru.wikipedia.org/wiki/%D0%9E%D0%BF%D1%82%D1%83%D1%85%D0%B0_(%D1%80%D0%B5%D0%BA%D0%B0)" TargetMode="External"/><Relationship Id="rId25" Type="http://schemas.openxmlformats.org/officeDocument/2006/relationships/hyperlink" Target="https://ru.wikipedia.org/wiki/%D0%9E%D0%BB%D1%8B%D0%BC_(%D1%80%D0%B5%D0%BA%D0%B0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B%D0%B8%D0%BA_(%D1%80%D0%B5%D0%BA%D0%B0)" TargetMode="External"/><Relationship Id="rId20" Type="http://schemas.openxmlformats.org/officeDocument/2006/relationships/hyperlink" Target="https://ru.wikipedia.org/wiki/%D0%91%D1%8B%D1%81%D1%82%D1%80%D0%B0%D1%8F_%D0%A1%D0%BE%D1%81%D0%BD%D0%B0" TargetMode="External"/><Relationship Id="rId29" Type="http://schemas.openxmlformats.org/officeDocument/2006/relationships/hyperlink" Target="http://mobileonline.garant.ru/document/redirect/12148517/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A%D0%B0" TargetMode="External"/><Relationship Id="rId24" Type="http://schemas.openxmlformats.org/officeDocument/2006/relationships/hyperlink" Target="https://ru.wikipedia.org/wiki/%D0%9A%D1%88%D0%B5%D0%BD%D1%8C_(%D1%80%D0%B5%D0%BA%D0%B0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E%D0%BD" TargetMode="External"/><Relationship Id="rId23" Type="http://schemas.openxmlformats.org/officeDocument/2006/relationships/hyperlink" Target="https://ru.wikipedia.org/wiki/%D0%9B%D1%8E%D0%B1%D0%BE%D0%B2%D1%88%D0%B0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s://ru.wikipedia.org/wiki/%D0%94%D0%BD%D0%B5%D0%BF%D1%80" TargetMode="External"/><Relationship Id="rId19" Type="http://schemas.openxmlformats.org/officeDocument/2006/relationships/hyperlink" Target="https://ru.wikipedia.org/wiki/%D0%9A%D1%80%D0%BE%D0%BC%D0%B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D" TargetMode="External"/><Relationship Id="rId14" Type="http://schemas.openxmlformats.org/officeDocument/2006/relationships/hyperlink" Target="https://ru.wikipedia.org/wiki/%D0%9D%D1%83%D0%B3%D1%80%D1%8C" TargetMode="External"/><Relationship Id="rId22" Type="http://schemas.openxmlformats.org/officeDocument/2006/relationships/hyperlink" Target="https://ru.wikipedia.org/wiki/%D0%A2%D0%B8%D0%BC_(%D0%BF%D1%80%D0%B8%D1%82%D0%BE%D0%BA_%D0%A1%D0%BE%D1%81%D0%BD%D1%8B)" TargetMode="External"/><Relationship Id="rId27" Type="http://schemas.openxmlformats.org/officeDocument/2006/relationships/hyperlink" Target="https://ru.wikipedia.org/wiki/%D0%94%D0%BD%D0%B5%D0%BF%D1%80" TargetMode="External"/><Relationship Id="rId30" Type="http://schemas.openxmlformats.org/officeDocument/2006/relationships/hyperlink" Target="http://mobileonline.garant.ru/document/redirect/12148517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354-EE6A-4CC0-87A3-27EAF1DC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11274</TotalTime>
  <Pages>65</Pages>
  <Words>11171</Words>
  <Characters>85556</Characters>
  <Application>Microsoft Office Word</Application>
  <DocSecurity>0</DocSecurity>
  <Lines>712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lds</cp:lastModifiedBy>
  <cp:revision>374</cp:revision>
  <cp:lastPrinted>2019-12-20T09:05:00Z</cp:lastPrinted>
  <dcterms:created xsi:type="dcterms:W3CDTF">2019-06-26T08:03:00Z</dcterms:created>
  <dcterms:modified xsi:type="dcterms:W3CDTF">2019-12-27T08:27:00Z</dcterms:modified>
</cp:coreProperties>
</file>