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D2" w:rsidRDefault="00B00BD2" w:rsidP="00B00BD2">
      <w:pPr>
        <w:pStyle w:val="90"/>
        <w:framePr w:w="9869" w:h="10637" w:hRule="exact" w:wrap="none" w:vAnchor="page" w:hAnchor="page" w:x="1292" w:y="2202"/>
        <w:shd w:val="clear" w:color="auto" w:fill="auto"/>
        <w:ind w:firstLine="800"/>
      </w:pPr>
      <w:bookmarkStart w:id="0" w:name="_GoBack"/>
      <w:bookmarkEnd w:id="0"/>
      <w:r>
        <w:t>С 01.03.2025 вступили в силу поправки, согласно которым устанавливаются основные направления противодействия формированию просроченной задолженности по заработной плате в Российской Федерации.</w:t>
      </w:r>
    </w:p>
    <w:p w:rsidR="00B00BD2" w:rsidRDefault="00B00BD2" w:rsidP="00B00BD2">
      <w:pPr>
        <w:pStyle w:val="20"/>
        <w:framePr w:w="9869" w:h="10637" w:hRule="exact" w:wrap="none" w:vAnchor="page" w:hAnchor="page" w:x="1292" w:y="2202"/>
        <w:shd w:val="clear" w:color="auto" w:fill="auto"/>
        <w:spacing w:line="240" w:lineRule="exact"/>
        <w:ind w:firstLine="800"/>
        <w:jc w:val="both"/>
      </w:pPr>
      <w:r>
        <w:t>Согласно поправкам, введенным ст. 158.1 ТК РФ противодействие формированию просроченной задолженности по заработной плате осуществляется федеральными органами исполнительной власти, органами исполнительной власти субъектов Российской Федерации и органами местного самоуправления с участием государственных внебюджетных фондов, а также профессиональных союзов, их объединений и работодателей, их объединений по следующим направлениям:</w:t>
      </w:r>
    </w:p>
    <w:p w:rsidR="00B00BD2" w:rsidRDefault="00B00BD2" w:rsidP="00B00BD2">
      <w:pPr>
        <w:pStyle w:val="20"/>
        <w:framePr w:w="9869" w:h="10637" w:hRule="exact" w:wrap="none" w:vAnchor="page" w:hAnchor="page" w:x="1292" w:y="2202"/>
        <w:numPr>
          <w:ilvl w:val="0"/>
          <w:numId w:val="1"/>
        </w:numPr>
        <w:shd w:val="clear" w:color="auto" w:fill="auto"/>
        <w:tabs>
          <w:tab w:val="left" w:pos="1111"/>
        </w:tabs>
        <w:spacing w:line="240" w:lineRule="exact"/>
        <w:ind w:firstLine="800"/>
        <w:jc w:val="both"/>
      </w:pPr>
      <w:r>
        <w:t>принятие профилактических мер,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формированию, мониторинг просроченной задолженности по заработной плате;</w:t>
      </w:r>
    </w:p>
    <w:p w:rsidR="00B00BD2" w:rsidRDefault="00B00BD2" w:rsidP="00B00BD2">
      <w:pPr>
        <w:pStyle w:val="20"/>
        <w:framePr w:w="9869" w:h="10637" w:hRule="exact" w:wrap="none" w:vAnchor="page" w:hAnchor="page" w:x="1292" w:y="2202"/>
        <w:numPr>
          <w:ilvl w:val="0"/>
          <w:numId w:val="1"/>
        </w:numPr>
        <w:shd w:val="clear" w:color="auto" w:fill="auto"/>
        <w:tabs>
          <w:tab w:val="left" w:pos="1111"/>
        </w:tabs>
        <w:spacing w:line="240" w:lineRule="exact"/>
        <w:ind w:firstLine="800"/>
        <w:jc w:val="both"/>
      </w:pPr>
      <w:r>
        <w:t>привлечение работодателей к ответственности за нарушение сроков выплаты заработной платы в порядке, установленном законодательством;</w:t>
      </w:r>
    </w:p>
    <w:p w:rsidR="00B00BD2" w:rsidRDefault="00B00BD2" w:rsidP="00B00BD2">
      <w:pPr>
        <w:pStyle w:val="20"/>
        <w:framePr w:w="9869" w:h="10637" w:hRule="exact" w:wrap="none" w:vAnchor="page" w:hAnchor="page" w:x="1292" w:y="2202"/>
        <w:numPr>
          <w:ilvl w:val="0"/>
          <w:numId w:val="1"/>
        </w:numPr>
        <w:shd w:val="clear" w:color="auto" w:fill="auto"/>
        <w:tabs>
          <w:tab w:val="left" w:pos="1111"/>
        </w:tabs>
        <w:spacing w:line="240" w:lineRule="exact"/>
        <w:ind w:firstLine="800"/>
        <w:jc w:val="both"/>
      </w:pPr>
      <w:r>
        <w:t>содействие реализации мероприятий по погашению просроченной задолженности по заработной плате;</w:t>
      </w:r>
    </w:p>
    <w:p w:rsidR="00B00BD2" w:rsidRDefault="00B00BD2" w:rsidP="00B00BD2">
      <w:pPr>
        <w:pStyle w:val="20"/>
        <w:framePr w:w="9869" w:h="10637" w:hRule="exact" w:wrap="none" w:vAnchor="page" w:hAnchor="page" w:x="1292" w:y="2202"/>
        <w:numPr>
          <w:ilvl w:val="0"/>
          <w:numId w:val="1"/>
        </w:numPr>
        <w:shd w:val="clear" w:color="auto" w:fill="auto"/>
        <w:tabs>
          <w:tab w:val="left" w:pos="1111"/>
        </w:tabs>
        <w:spacing w:line="240" w:lineRule="exact"/>
        <w:ind w:firstLine="800"/>
        <w:jc w:val="both"/>
      </w:pPr>
      <w:r>
        <w:t>проведение разъяснительной работы с участием сторон социального партнерства по вопросам обеспечения трудовых прав работников.</w:t>
      </w:r>
    </w:p>
    <w:p w:rsidR="00B00BD2" w:rsidRDefault="00B00BD2" w:rsidP="00B00BD2">
      <w:pPr>
        <w:pStyle w:val="20"/>
        <w:framePr w:w="9869" w:h="10637" w:hRule="exact" w:wrap="none" w:vAnchor="page" w:hAnchor="page" w:x="1292" w:y="2202"/>
        <w:shd w:val="clear" w:color="auto" w:fill="auto"/>
        <w:spacing w:line="240" w:lineRule="exact"/>
        <w:ind w:firstLine="800"/>
        <w:jc w:val="both"/>
      </w:pPr>
      <w:r>
        <w:t>Федеральные органы исполнительной власти,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заработной плате в пределах своей компетенции.</w:t>
      </w:r>
    </w:p>
    <w:p w:rsidR="00B00BD2" w:rsidRDefault="00B00BD2" w:rsidP="00B00BD2">
      <w:pPr>
        <w:pStyle w:val="20"/>
        <w:framePr w:w="9869" w:h="10637" w:hRule="exact" w:wrap="none" w:vAnchor="page" w:hAnchor="page" w:x="1292" w:y="2202"/>
        <w:shd w:val="clear" w:color="auto" w:fill="auto"/>
        <w:spacing w:line="240" w:lineRule="exact"/>
        <w:ind w:firstLine="800"/>
        <w:jc w:val="both"/>
      </w:pPr>
      <w:proofErr w:type="gramStart"/>
      <w: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 внебюджетных фондов, а также профессиональных союзов, их объединений и работодателей, их объединении по противодействию формированию просроченной задолженности по заработной плате в субъектах Российской Федерации высшими исполнительными органами субъектов Российской Федерации формируются межведомственные комиссии субъектов Российской Федерации по противодействию формированию</w:t>
      </w:r>
      <w:proofErr w:type="gramEnd"/>
      <w:r>
        <w:t xml:space="preserve"> просроченной задолженности по заработной плате.</w:t>
      </w:r>
    </w:p>
    <w:p w:rsidR="00B00BD2" w:rsidRDefault="00B00BD2" w:rsidP="00B00BD2">
      <w:pPr>
        <w:pStyle w:val="20"/>
        <w:framePr w:w="9869" w:h="10637" w:hRule="exact" w:wrap="none" w:vAnchor="page" w:hAnchor="page" w:x="1292" w:y="2202"/>
        <w:shd w:val="clear" w:color="auto" w:fill="auto"/>
        <w:spacing w:line="240" w:lineRule="exact"/>
        <w:ind w:firstLine="800"/>
        <w:jc w:val="both"/>
      </w:pPr>
      <w:r>
        <w:t>Межведомственные комиссии субъектов Российской Федерации по противодействию формированию просроченной задолженности по заработной плате не наделяются полномочиями по осуществлению государственного контроля (надзора), муниципального контроля.</w:t>
      </w:r>
    </w:p>
    <w:p w:rsidR="00B00BD2" w:rsidRDefault="00B00BD2" w:rsidP="00B00BD2">
      <w:pPr>
        <w:pStyle w:val="20"/>
        <w:framePr w:w="9869" w:h="10637" w:hRule="exact" w:wrap="none" w:vAnchor="page" w:hAnchor="page" w:x="1292" w:y="2202"/>
        <w:shd w:val="clear" w:color="auto" w:fill="auto"/>
        <w:spacing w:line="240" w:lineRule="exact"/>
        <w:ind w:firstLine="800"/>
        <w:jc w:val="both"/>
      </w:pPr>
      <w:r>
        <w:t>Порядок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и порядок принятия ими решений определяются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AC5622" w:rsidRDefault="00AC5622"/>
    <w:sectPr w:rsidR="00AC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2029"/>
    <w:multiLevelType w:val="multilevel"/>
    <w:tmpl w:val="DBAE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5D"/>
    <w:rsid w:val="001E3F5D"/>
    <w:rsid w:val="00AC5622"/>
    <w:rsid w:val="00B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0B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00B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0BD2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B00BD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0B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00B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0BD2"/>
    <w:pPr>
      <w:widowControl w:val="0"/>
      <w:shd w:val="clear" w:color="auto" w:fill="FFFFFF"/>
      <w:spacing w:after="0" w:line="485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B00BD2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2025-06-06T13:15:00Z</dcterms:created>
  <dcterms:modified xsi:type="dcterms:W3CDTF">2025-06-06T13:16:00Z</dcterms:modified>
</cp:coreProperties>
</file>