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1A1D03">
        <w:rPr>
          <w:color w:val="666666"/>
        </w:rPr>
        <w:t xml:space="preserve">ПРОКУРАТУРА СОВЕТСКОГО РАЙОНА Г. ОРЛА РАЗЪЯСНЯЕТ: 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center"/>
        <w:textAlignment w:val="baseline"/>
        <w:rPr>
          <w:color w:val="666666"/>
        </w:rPr>
      </w:pPr>
      <w:bookmarkStart w:id="0" w:name="_GoBack"/>
      <w:bookmarkEnd w:id="0"/>
      <w:r w:rsidRPr="001A1D03">
        <w:rPr>
          <w:color w:val="666666"/>
        </w:rPr>
        <w:t>О ПРАВАХ РЕБЕНКА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Ребёнком признается лицо, не достигшее возраста восемнадцати лет (совершеннолетия).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 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Каждый ребёнок имеет право: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знать своих родителей, право на их заботу, на воспитание,  обеспечение его интересов, всестороннее развитие, уважение его человеческого достоинства;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на общение со своими родителями (лицами, их заменяющими) и другими родственниками,   находясь в экстремальной ситуации (задержание, арест, заключение под стражу, нахождение в медицинской организации, состояние алкогольного или наркотического опьянения и другое)  (ст. 54 СК РФ);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на защиту своих прав и законных интересов родителями (лицами, их заменяющими) либо органом опеки и попечительства, прокурором и судом;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на защиту от злоупотреблений со стороны родителей (лиц, их заменяющих);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самостоятельно обращаться за защитой своих прав в орган опеки и попечительства, а по достижении возраста четырнадцати лет в суд (в том числе при невыполнении или при ненадлежащем выполнении родителями обязанностей по воспитанию, образованию ребенка либо при злоупотреблении родительскими правами);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разбирательства; учет мнения ребенка, достигшего возраста десяти лет — обязателен (ст. 57 СК РФ);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на получение содержания от своих родителей и других членов семьи. Суммы, причитающиеся ребенку (алименты, пенсии, пособия, поступают в распоряжение родителей (лиц, их заменяющих) и расходуются ими на содержание, воспитание и образование ребенка;</w:t>
      </w:r>
    </w:p>
    <w:p w:rsidR="001D3D18" w:rsidRPr="001A1D03" w:rsidRDefault="001D3D18" w:rsidP="001D3D18">
      <w:pPr>
        <w:pStyle w:val="a3"/>
        <w:shd w:val="clear" w:color="auto" w:fill="F0F0F0"/>
        <w:spacing w:before="0" w:beforeAutospacing="0" w:after="0" w:afterAutospacing="0"/>
        <w:jc w:val="both"/>
        <w:textAlignment w:val="baseline"/>
        <w:rPr>
          <w:color w:val="666666"/>
        </w:rPr>
      </w:pPr>
      <w:r w:rsidRPr="001A1D03">
        <w:rPr>
          <w:color w:val="666666"/>
        </w:rPr>
        <w:t>— на доходы, полученные им, имущество, полученное им в дар или в порядке наследования, а также на любое другое имущество, приобретённое на средства ребёнка (ст. 60 СК РФ).</w:t>
      </w:r>
    </w:p>
    <w:p w:rsidR="005265C1" w:rsidRPr="001D3D18" w:rsidRDefault="005265C1" w:rsidP="001D3D18">
      <w:pPr>
        <w:spacing w:after="0"/>
        <w:jc w:val="both"/>
        <w:rPr>
          <w:rFonts w:ascii="Times New Roman" w:hAnsi="Times New Roman" w:cs="Times New Roman"/>
        </w:rPr>
      </w:pPr>
    </w:p>
    <w:sectPr w:rsidR="005265C1" w:rsidRPr="001D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F2"/>
    <w:rsid w:val="001A1D03"/>
    <w:rsid w:val="001D3D18"/>
    <w:rsid w:val="005265C1"/>
    <w:rsid w:val="007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0329"/>
  <w15:docId w15:val="{387B8CA8-453A-49E6-ACD2-4100DAB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Трахинина Жанна Викторовна</cp:lastModifiedBy>
  <cp:revision>4</cp:revision>
  <dcterms:created xsi:type="dcterms:W3CDTF">2019-07-26T11:30:00Z</dcterms:created>
  <dcterms:modified xsi:type="dcterms:W3CDTF">2019-07-29T12:11:00Z</dcterms:modified>
</cp:coreProperties>
</file>