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D2F" w:rsidRDefault="00B53D2F" w:rsidP="00B53D2F">
      <w:pPr>
        <w:pStyle w:val="1"/>
        <w:ind w:left="360" w:firstLine="0"/>
      </w:pPr>
      <w:bookmarkStart w:id="0" w:name="_GoBack"/>
      <w:r>
        <w:t>Расширен перечень преступлений, за несообщение о которых наступает уголовная ответственность</w:t>
      </w:r>
    </w:p>
    <w:bookmarkEnd w:id="0"/>
    <w:p w:rsidR="00B53D2F" w:rsidRDefault="00B53D2F" w:rsidP="00B53D2F">
      <w:proofErr w:type="gramStart"/>
      <w:r>
        <w:t>Федеральным законом от 21.04.2025 № 102-ФЗ статья 205.6 Уголовного кодекса Российской Федерации (далее – УК РФ), предусматривающая уголовную ответственность за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статьями 205, 205.1, 205.2, 205.3, 205.4, 205.5, 206, 208, 211, 220, 221, 277, 278, 279</w:t>
      </w:r>
      <w:proofErr w:type="gramEnd"/>
      <w:r>
        <w:t>, 360 и 361 УК РФ, дополнена следующими преступлениями, за несообщение о которых наступает уголовная ответственность по статье 205.6 УК РФ, а именно, предусмотренными:</w:t>
      </w:r>
    </w:p>
    <w:p w:rsidR="00B53D2F" w:rsidRDefault="00B53D2F" w:rsidP="00B53D2F">
      <w:r>
        <w:t>статьей 281 (Диверсия),</w:t>
      </w:r>
    </w:p>
    <w:p w:rsidR="00B53D2F" w:rsidRDefault="00B53D2F" w:rsidP="00B53D2F">
      <w:r>
        <w:t>статьей 281.1 (Содействие диверсионной деятельности),</w:t>
      </w:r>
    </w:p>
    <w:p w:rsidR="00B53D2F" w:rsidRDefault="00B53D2F" w:rsidP="00B53D2F">
      <w:r>
        <w:t>статьей 281.2 (Прохождение обучения в целях осуществления диверсионной деятельности),</w:t>
      </w:r>
    </w:p>
    <w:p w:rsidR="00B53D2F" w:rsidRDefault="00B53D2F" w:rsidP="00B53D2F">
      <w:r>
        <w:t xml:space="preserve">статьей 281.3 (Организация диверсионного сообщества и участие в нем) УК РФ. </w:t>
      </w:r>
    </w:p>
    <w:p w:rsidR="00B53D2F" w:rsidRDefault="00B53D2F" w:rsidP="00B53D2F">
      <w:r>
        <w:t>Санкция статьи 205.6 УК РФ предусматривает наказание в виде штрафа в размере до 100 000 руб. или в размере заработной платы или иного дохода осужденного за период до 6 месяцев, либо принудительными работами на срок до 1 года, либо лишением свободы на тот же срок.</w:t>
      </w:r>
    </w:p>
    <w:p w:rsidR="00B53D2F" w:rsidRDefault="00B53D2F" w:rsidP="00B53D2F">
      <w:r>
        <w:t xml:space="preserve"> </w:t>
      </w:r>
    </w:p>
    <w:p w:rsidR="00B53D2F" w:rsidRDefault="00B53D2F" w:rsidP="00B53D2F">
      <w:r>
        <w:t>При этом следует отметить, что согласно примечанию к указанной статье лицо не подлежит уголовной ответственности за несообщение о подготовке или совершении преступления его супругом или близким родственником.​​​​​​​</w:t>
      </w:r>
    </w:p>
    <w:p w:rsidR="00B53D2F" w:rsidRDefault="00B53D2F" w:rsidP="00B53D2F">
      <w:r>
        <w:t>Изменения вступили в силу 02.05.2025.</w:t>
      </w:r>
    </w:p>
    <w:p w:rsidR="00EE21D9" w:rsidRDefault="00EE21D9"/>
    <w:sectPr w:rsidR="00EE21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939"/>
    <w:multiLevelType w:val="multilevel"/>
    <w:tmpl w:val="003C61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B9"/>
    <w:rsid w:val="001B33B9"/>
    <w:rsid w:val="00B53D2F"/>
    <w:rsid w:val="00EE2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3D2F"/>
    <w:pPr>
      <w:shd w:val="clear" w:color="auto" w:fill="FFFFFF"/>
      <w:spacing w:after="240"/>
      <w:jc w:val="both"/>
    </w:pPr>
    <w:rPr>
      <w:rFonts w:ascii="Times New Roman" w:eastAsia="Times New Roman" w:hAnsi="Times New Roman" w:cs="Times New Roman"/>
      <w:color w:val="333333"/>
      <w:sz w:val="26"/>
      <w:szCs w:val="26"/>
      <w:lang w:val="ru" w:eastAsia="ru-RU"/>
    </w:rPr>
  </w:style>
  <w:style w:type="paragraph" w:styleId="1">
    <w:name w:val="heading 1"/>
    <w:basedOn w:val="a"/>
    <w:next w:val="a"/>
    <w:link w:val="10"/>
    <w:rsid w:val="00B53D2F"/>
    <w:pPr>
      <w:keepNext/>
      <w:keepLines/>
      <w:ind w:left="720" w:hanging="360"/>
      <w:outlineLvl w:val="0"/>
    </w:pPr>
    <w:rPr>
      <w:b/>
      <w:color w:val="3D85C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3D2F"/>
    <w:rPr>
      <w:rFonts w:ascii="Times New Roman" w:eastAsia="Times New Roman" w:hAnsi="Times New Roman" w:cs="Times New Roman"/>
      <w:b/>
      <w:color w:val="3D85C6"/>
      <w:sz w:val="30"/>
      <w:szCs w:val="30"/>
      <w:shd w:val="clear" w:color="auto" w:fill="FFFFFF"/>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3D2F"/>
    <w:pPr>
      <w:shd w:val="clear" w:color="auto" w:fill="FFFFFF"/>
      <w:spacing w:after="240"/>
      <w:jc w:val="both"/>
    </w:pPr>
    <w:rPr>
      <w:rFonts w:ascii="Times New Roman" w:eastAsia="Times New Roman" w:hAnsi="Times New Roman" w:cs="Times New Roman"/>
      <w:color w:val="333333"/>
      <w:sz w:val="26"/>
      <w:szCs w:val="26"/>
      <w:lang w:val="ru" w:eastAsia="ru-RU"/>
    </w:rPr>
  </w:style>
  <w:style w:type="paragraph" w:styleId="1">
    <w:name w:val="heading 1"/>
    <w:basedOn w:val="a"/>
    <w:next w:val="a"/>
    <w:link w:val="10"/>
    <w:rsid w:val="00B53D2F"/>
    <w:pPr>
      <w:keepNext/>
      <w:keepLines/>
      <w:ind w:left="720" w:hanging="360"/>
      <w:outlineLvl w:val="0"/>
    </w:pPr>
    <w:rPr>
      <w:b/>
      <w:color w:val="3D85C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3D2F"/>
    <w:rPr>
      <w:rFonts w:ascii="Times New Roman" w:eastAsia="Times New Roman" w:hAnsi="Times New Roman" w:cs="Times New Roman"/>
      <w:b/>
      <w:color w:val="3D85C6"/>
      <w:sz w:val="30"/>
      <w:szCs w:val="30"/>
      <w:shd w:val="clear" w:color="auto" w:fill="FFFFFF"/>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Глаголева Наталия Николаевна</dc:creator>
  <cp:keywords/>
  <dc:description/>
  <cp:lastModifiedBy>Глаголева Наталия Николаевна</cp:lastModifiedBy>
  <cp:revision>2</cp:revision>
  <dcterms:created xsi:type="dcterms:W3CDTF">2025-05-06T12:50:00Z</dcterms:created>
  <dcterms:modified xsi:type="dcterms:W3CDTF">2025-05-06T12:51:00Z</dcterms:modified>
</cp:coreProperties>
</file>