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Распоряжением Пенсионного Фонда РФ от 04.02.2019 № 37р «О внесении изменений в распоряжение Правления ПФР от 12 июля 2018 г. № 352р»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 xml:space="preserve">дополнен перечень </w:t>
      </w:r>
      <w:proofErr w:type="spellStart"/>
      <w:r>
        <w:rPr>
          <w:b/>
          <w:bCs/>
          <w:spacing w:val="2"/>
          <w:sz w:val="28"/>
          <w:szCs w:val="28"/>
        </w:rPr>
        <w:t>госуслуг</w:t>
      </w:r>
      <w:proofErr w:type="spellEnd"/>
      <w:r>
        <w:rPr>
          <w:b/>
          <w:bCs/>
          <w:spacing w:val="2"/>
          <w:sz w:val="28"/>
          <w:szCs w:val="28"/>
        </w:rPr>
        <w:t>, предоставляемых ПФР.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Так, в перечень государственных услуг, утвержденный распоряжением Правления ПФ РФ от 12.07.2018 N 352р, включены новые позиции: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прием, рассмотрение уведомления застрахованного лица об отказе от смены страховщика по обязательному пенсионному страхованию;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информирование граждан об отнесении к категории граждан </w:t>
      </w:r>
      <w:proofErr w:type="spellStart"/>
      <w:r>
        <w:rPr>
          <w:color w:val="000000"/>
          <w:spacing w:val="2"/>
          <w:sz w:val="28"/>
          <w:szCs w:val="28"/>
        </w:rPr>
        <w:t>предпенсионного</w:t>
      </w:r>
      <w:proofErr w:type="spellEnd"/>
      <w:r>
        <w:rPr>
          <w:color w:val="000000"/>
          <w:spacing w:val="2"/>
          <w:sz w:val="28"/>
          <w:szCs w:val="28"/>
        </w:rPr>
        <w:t xml:space="preserve"> возраста.</w:t>
      </w:r>
    </w:p>
    <w:p w:rsidR="00BE03A6" w:rsidRDefault="00BE03A6" w:rsidP="009309B0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B72A5F" w:rsidRDefault="00BE03A6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9309B0"/>
    <w:rsid w:val="0095467F"/>
    <w:rsid w:val="00B01E9D"/>
    <w:rsid w:val="00B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56B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2020-06-25T08:34:00Z</dcterms:modified>
</cp:coreProperties>
</file>