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8EE" w:rsidRDefault="00E268EE" w:rsidP="00E268EE">
      <w:pPr>
        <w:spacing w:after="0" w:line="240" w:lineRule="auto"/>
        <w:ind w:left="6096"/>
        <w:rPr>
          <w:rFonts w:ascii="Arial" w:hAnsi="Arial" w:cs="Arial"/>
        </w:rPr>
      </w:pPr>
      <w:r>
        <w:rPr>
          <w:rFonts w:ascii="Arial" w:hAnsi="Arial" w:cs="Arial"/>
        </w:rPr>
        <w:t>Приложение №1</w:t>
      </w:r>
    </w:p>
    <w:p w:rsidR="00E268EE" w:rsidRDefault="00E268EE" w:rsidP="00E268EE">
      <w:pPr>
        <w:tabs>
          <w:tab w:val="left" w:pos="900"/>
          <w:tab w:val="left" w:pos="5220"/>
        </w:tabs>
        <w:spacing w:after="0" w:line="240" w:lineRule="auto"/>
        <w:ind w:left="6096"/>
        <w:rPr>
          <w:rFonts w:ascii="Arial" w:hAnsi="Arial" w:cs="Arial"/>
        </w:rPr>
      </w:pPr>
      <w:r>
        <w:rPr>
          <w:rFonts w:ascii="Arial" w:hAnsi="Arial" w:cs="Arial"/>
        </w:rPr>
        <w:t>к решению Орловского городского Совета народных депутатов</w:t>
      </w:r>
    </w:p>
    <w:p w:rsidR="00E268EE" w:rsidRDefault="00E268EE" w:rsidP="00E268EE">
      <w:pPr>
        <w:tabs>
          <w:tab w:val="left" w:pos="900"/>
          <w:tab w:val="left" w:pos="5220"/>
        </w:tabs>
        <w:ind w:left="6096"/>
        <w:jc w:val="both"/>
        <w:rPr>
          <w:rFonts w:ascii="Arial" w:hAnsi="Arial" w:cs="Arial"/>
        </w:rPr>
      </w:pPr>
      <w:r>
        <w:rPr>
          <w:rFonts w:ascii="Arial" w:hAnsi="Arial" w:cs="Arial"/>
        </w:rPr>
        <w:t>от ___________ № ______</w:t>
      </w:r>
      <w:proofErr w:type="gramStart"/>
      <w:r>
        <w:rPr>
          <w:rFonts w:ascii="Arial" w:hAnsi="Arial" w:cs="Arial"/>
        </w:rPr>
        <w:t>_-</w:t>
      </w:r>
      <w:proofErr w:type="gramEnd"/>
      <w:r>
        <w:rPr>
          <w:rFonts w:ascii="Arial" w:hAnsi="Arial" w:cs="Arial"/>
        </w:rPr>
        <w:t>ГС</w:t>
      </w:r>
    </w:p>
    <w:p w:rsidR="00E268EE" w:rsidRDefault="00551CDF" w:rsidP="00551CDF">
      <w:pPr>
        <w:pStyle w:val="ConsPlusNormal"/>
        <w:jc w:val="center"/>
        <w:outlineLvl w:val="0"/>
      </w:pPr>
      <w:r>
        <w:t xml:space="preserve">                                                                                                                                                           Таблица 6</w:t>
      </w:r>
    </w:p>
    <w:p w:rsidR="00551CDF" w:rsidRDefault="00551CDF" w:rsidP="00551CDF">
      <w:pPr>
        <w:pStyle w:val="ConsPlusNormal"/>
        <w:jc w:val="center"/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0"/>
        <w:gridCol w:w="2520"/>
        <w:gridCol w:w="2280"/>
      </w:tblGrid>
      <w:tr w:rsidR="00E268EE">
        <w:tc>
          <w:tcPr>
            <w:tcW w:w="4260" w:type="dxa"/>
            <w:vAlign w:val="center"/>
          </w:tcPr>
          <w:p w:rsidR="00E268EE" w:rsidRDefault="00E268EE">
            <w:pPr>
              <w:pStyle w:val="ConsPlusNormal"/>
              <w:jc w:val="center"/>
            </w:pPr>
            <w:r>
              <w:t>Здания и сооружения, рекреационные территории, объекты отдыха</w:t>
            </w:r>
          </w:p>
        </w:tc>
        <w:tc>
          <w:tcPr>
            <w:tcW w:w="2520" w:type="dxa"/>
            <w:vAlign w:val="center"/>
          </w:tcPr>
          <w:p w:rsidR="00E268EE" w:rsidRDefault="00E268EE">
            <w:pPr>
              <w:pStyle w:val="ConsPlusNormal"/>
              <w:jc w:val="center"/>
            </w:pPr>
            <w:r>
              <w:t>Расчетная единица</w:t>
            </w:r>
          </w:p>
        </w:tc>
        <w:tc>
          <w:tcPr>
            <w:tcW w:w="2280" w:type="dxa"/>
            <w:vAlign w:val="center"/>
          </w:tcPr>
          <w:p w:rsidR="00E268EE" w:rsidRDefault="00E268EE">
            <w:pPr>
              <w:pStyle w:val="ConsPlusNormal"/>
              <w:jc w:val="center"/>
            </w:pPr>
            <w:r>
              <w:t xml:space="preserve">Предусматривается 1 </w:t>
            </w:r>
            <w:proofErr w:type="spellStart"/>
            <w:r>
              <w:t>машино</w:t>
            </w:r>
            <w:proofErr w:type="spellEnd"/>
            <w:r>
              <w:t>-место на следующее количество расчетных единиц</w:t>
            </w:r>
          </w:p>
        </w:tc>
      </w:tr>
      <w:tr w:rsidR="00E268EE">
        <w:tc>
          <w:tcPr>
            <w:tcW w:w="9060" w:type="dxa"/>
            <w:gridSpan w:val="3"/>
          </w:tcPr>
          <w:p w:rsidR="00E268EE" w:rsidRDefault="00E268EE">
            <w:pPr>
              <w:pStyle w:val="ConsPlusNormal"/>
              <w:jc w:val="center"/>
            </w:pPr>
            <w:r>
              <w:rPr>
                <w:b/>
              </w:rPr>
              <w:t>Здания и сооружения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Учреждения органов государственной власти, органы местного самоуправления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200 - 220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Административно-управленческие 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100 - 120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Коммерческо-деловые центры, офисные здания и помещения, страховые компании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50 - 60</w:t>
            </w: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>Банки и банковские учреждения, кредитно-финансовые учреждения:</w:t>
            </w:r>
          </w:p>
        </w:tc>
        <w:tc>
          <w:tcPr>
            <w:tcW w:w="252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</w:p>
        </w:tc>
        <w:tc>
          <w:tcPr>
            <w:tcW w:w="228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top w:val="nil"/>
            </w:tcBorders>
          </w:tcPr>
          <w:p w:rsidR="00E268EE" w:rsidRDefault="00E268EE">
            <w:pPr>
              <w:pStyle w:val="ConsPlusNormal"/>
            </w:pPr>
            <w:r>
              <w:t>- с операционными залами</w:t>
            </w:r>
          </w:p>
        </w:tc>
        <w:tc>
          <w:tcPr>
            <w:tcW w:w="2520" w:type="dxa"/>
            <w:tcBorders>
              <w:top w:val="nil"/>
            </w:tcBorders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tcBorders>
              <w:top w:val="nil"/>
            </w:tcBorders>
          </w:tcPr>
          <w:p w:rsidR="00E268EE" w:rsidRDefault="00E268EE">
            <w:pPr>
              <w:pStyle w:val="ConsPlusNormal"/>
              <w:jc w:val="center"/>
            </w:pPr>
            <w:r>
              <w:t>30 - 35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- без операционных залов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</w:tcPr>
          <w:p w:rsidR="00E268EE" w:rsidRDefault="00E268EE">
            <w:pPr>
              <w:pStyle w:val="ConsPlusNormal"/>
              <w:jc w:val="center"/>
            </w:pPr>
            <w:r>
              <w:t>55 - 60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Здания и комплексы многофункциональные</w:t>
            </w:r>
          </w:p>
        </w:tc>
        <w:tc>
          <w:tcPr>
            <w:tcW w:w="4800" w:type="dxa"/>
            <w:gridSpan w:val="2"/>
          </w:tcPr>
          <w:p w:rsidR="00E268EE" w:rsidRDefault="00E268EE">
            <w:pPr>
              <w:pStyle w:val="ConsPlusNormal"/>
              <w:jc w:val="center"/>
            </w:pPr>
            <w:r>
              <w:t xml:space="preserve">По </w:t>
            </w:r>
            <w:hyperlink r:id="rId5">
              <w:r w:rsidRPr="00B51CEF">
                <w:t>СП 160.1325800</w:t>
              </w:r>
            </w:hyperlink>
          </w:p>
        </w:tc>
      </w:tr>
      <w:tr w:rsidR="00E268EE" w:rsidTr="00E268EE">
        <w:tblPrEx>
          <w:tblBorders>
            <w:insideH w:val="nil"/>
          </w:tblBorders>
        </w:tblPrEx>
        <w:trPr>
          <w:trHeight w:val="639"/>
        </w:trPr>
        <w:tc>
          <w:tcPr>
            <w:tcW w:w="426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>Общественные помещения с гибким функциональным назначением</w:t>
            </w:r>
          </w:p>
        </w:tc>
        <w:tc>
          <w:tcPr>
            <w:tcW w:w="2520" w:type="dxa"/>
            <w:tcBorders>
              <w:bottom w:val="nil"/>
            </w:tcBorders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расчетной площади</w:t>
            </w:r>
          </w:p>
        </w:tc>
        <w:tc>
          <w:tcPr>
            <w:tcW w:w="2280" w:type="dxa"/>
            <w:tcBorders>
              <w:bottom w:val="nil"/>
            </w:tcBorders>
          </w:tcPr>
          <w:p w:rsidR="00E268EE" w:rsidRDefault="00E268EE">
            <w:pPr>
              <w:pStyle w:val="ConsPlusNormal"/>
              <w:jc w:val="center"/>
            </w:pPr>
            <w:r>
              <w:t>50 - 60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Здания судов общей юрисдикции</w:t>
            </w:r>
          </w:p>
        </w:tc>
        <w:tc>
          <w:tcPr>
            <w:tcW w:w="4800" w:type="dxa"/>
            <w:gridSpan w:val="2"/>
          </w:tcPr>
          <w:p w:rsidR="00E268EE" w:rsidRDefault="00E268EE">
            <w:pPr>
              <w:pStyle w:val="ConsPlusNormal"/>
              <w:jc w:val="center"/>
            </w:pPr>
            <w:r>
              <w:t>По</w:t>
            </w:r>
            <w:r w:rsidRPr="00B51CEF">
              <w:t xml:space="preserve"> </w:t>
            </w:r>
            <w:hyperlink r:id="rId6">
              <w:r w:rsidRPr="00B51CEF">
                <w:t>СП 152.13330</w:t>
              </w:r>
            </w:hyperlink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Здания и сооружения следственных органов</w:t>
            </w:r>
          </w:p>
        </w:tc>
        <w:tc>
          <w:tcPr>
            <w:tcW w:w="4800" w:type="dxa"/>
            <w:gridSpan w:val="2"/>
          </w:tcPr>
          <w:p w:rsidR="00E268EE" w:rsidRDefault="00E268EE">
            <w:pPr>
              <w:pStyle w:val="ConsPlusNormal"/>
              <w:jc w:val="center"/>
            </w:pPr>
            <w:r>
              <w:t xml:space="preserve">По </w:t>
            </w:r>
            <w:hyperlink r:id="rId7">
              <w:r w:rsidRPr="00B51CEF">
                <w:t>СП 228.1325800</w:t>
              </w:r>
            </w:hyperlink>
          </w:p>
        </w:tc>
      </w:tr>
      <w:tr w:rsidR="00900E7F">
        <w:tc>
          <w:tcPr>
            <w:tcW w:w="4260" w:type="dxa"/>
          </w:tcPr>
          <w:p w:rsidR="00900E7F" w:rsidRDefault="00900E7F">
            <w:pPr>
              <w:pStyle w:val="ConsPlusNormal"/>
            </w:pPr>
            <w:r>
              <w:t>Здания общеобразовательных организаций</w:t>
            </w:r>
          </w:p>
        </w:tc>
        <w:tc>
          <w:tcPr>
            <w:tcW w:w="2520" w:type="dxa"/>
          </w:tcPr>
          <w:p w:rsidR="00900E7F" w:rsidRPr="00900E7F" w:rsidRDefault="00900E7F" w:rsidP="00900E7F">
            <w:pPr>
              <w:pStyle w:val="ConsPlusNormal"/>
            </w:pPr>
            <w:r w:rsidRPr="00900E7F">
              <w:t>100 обучающихся</w:t>
            </w:r>
          </w:p>
          <w:p w:rsidR="00900E7F" w:rsidRPr="00900E7F" w:rsidRDefault="00900E7F" w:rsidP="00900E7F">
            <w:pPr>
              <w:pStyle w:val="ConsPlusNormal"/>
            </w:pPr>
            <w:r w:rsidRPr="00900E7F">
              <w:t>5 работников</w:t>
            </w:r>
          </w:p>
        </w:tc>
        <w:tc>
          <w:tcPr>
            <w:tcW w:w="2280" w:type="dxa"/>
          </w:tcPr>
          <w:p w:rsidR="00900E7F" w:rsidRPr="00900E7F" w:rsidRDefault="00900E7F" w:rsidP="00900E7F">
            <w:pPr>
              <w:pStyle w:val="ConsPlusNormal"/>
            </w:pPr>
            <w:r w:rsidRPr="00900E7F">
              <w:t>1*,</w:t>
            </w:r>
          </w:p>
          <w:p w:rsidR="00900E7F" w:rsidRPr="00900E7F" w:rsidRDefault="00900E7F" w:rsidP="00900E7F">
            <w:pPr>
              <w:pStyle w:val="ConsPlusNormal"/>
            </w:pPr>
            <w:r w:rsidRPr="00900E7F">
              <w:t>в том числе не менее одного увеличенного места для МГН.</w:t>
            </w:r>
          </w:p>
          <w:p w:rsidR="00900E7F" w:rsidRDefault="00900E7F" w:rsidP="00900E7F">
            <w:pPr>
              <w:pStyle w:val="ConsPlusNormal"/>
              <w:jc w:val="center"/>
            </w:pPr>
            <w:r w:rsidRPr="00900E7F">
              <w:t>1</w:t>
            </w:r>
          </w:p>
        </w:tc>
      </w:tr>
      <w:tr w:rsidR="00900E7F">
        <w:tc>
          <w:tcPr>
            <w:tcW w:w="4260" w:type="dxa"/>
          </w:tcPr>
          <w:p w:rsidR="00900E7F" w:rsidRDefault="00900E7F">
            <w:pPr>
              <w:pStyle w:val="ConsPlusNormal"/>
            </w:pPr>
            <w:r>
              <w:t>Здания дошкольных организаций</w:t>
            </w:r>
          </w:p>
        </w:tc>
        <w:tc>
          <w:tcPr>
            <w:tcW w:w="2520" w:type="dxa"/>
          </w:tcPr>
          <w:p w:rsidR="00900E7F" w:rsidRPr="00900E7F" w:rsidRDefault="00900E7F" w:rsidP="00900E7F">
            <w:pPr>
              <w:pStyle w:val="ConsPlusNormal"/>
            </w:pPr>
            <w:r w:rsidRPr="00900E7F">
              <w:t xml:space="preserve">группа </w:t>
            </w:r>
          </w:p>
          <w:p w:rsidR="00900E7F" w:rsidRDefault="00900E7F" w:rsidP="00900E7F">
            <w:pPr>
              <w:pStyle w:val="ConsPlusNormal"/>
            </w:pPr>
            <w:r w:rsidRPr="00900E7F">
              <w:t>5 работников</w:t>
            </w:r>
          </w:p>
        </w:tc>
        <w:tc>
          <w:tcPr>
            <w:tcW w:w="2280" w:type="dxa"/>
          </w:tcPr>
          <w:p w:rsidR="00900E7F" w:rsidRDefault="00900E7F" w:rsidP="00900E7F">
            <w:pPr>
              <w:pStyle w:val="ConsPlusNormal"/>
              <w:jc w:val="center"/>
            </w:pPr>
            <w:r>
              <w:t>1*</w:t>
            </w:r>
          </w:p>
          <w:p w:rsidR="00900E7F" w:rsidRDefault="00900E7F" w:rsidP="00900E7F">
            <w:pPr>
              <w:pStyle w:val="ConsPlusNormal"/>
              <w:jc w:val="center"/>
            </w:pPr>
            <w:r>
              <w:t>1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 xml:space="preserve">Образовательные организации, </w:t>
            </w:r>
            <w:r>
              <w:lastRenderedPageBreak/>
              <w:t>реализующие программы высшего образования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lastRenderedPageBreak/>
              <w:t xml:space="preserve">Преподаватели, </w:t>
            </w:r>
            <w:r>
              <w:lastRenderedPageBreak/>
              <w:t>сотрудники, студенты, занятые в одну смену</w:t>
            </w:r>
          </w:p>
        </w:tc>
        <w:tc>
          <w:tcPr>
            <w:tcW w:w="2280" w:type="dxa"/>
          </w:tcPr>
          <w:p w:rsidR="00E268EE" w:rsidRDefault="00E268EE">
            <w:pPr>
              <w:pStyle w:val="ConsPlusNormal"/>
              <w:jc w:val="center"/>
            </w:pPr>
            <w:r>
              <w:lastRenderedPageBreak/>
              <w:t xml:space="preserve">2 - 4 преподавателя и </w:t>
            </w:r>
            <w:r>
              <w:lastRenderedPageBreak/>
              <w:t xml:space="preserve">сотрудника + 1 </w:t>
            </w:r>
            <w:proofErr w:type="spellStart"/>
            <w:r>
              <w:t>машино</w:t>
            </w:r>
            <w:proofErr w:type="spellEnd"/>
            <w:r>
              <w:t>-место на 10 студентов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lastRenderedPageBreak/>
              <w:t>Профессиональные образовательные организации, образовательные организации искусств городского значения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Преподаватели, занятые в одну смену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2 - 3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20 - 25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Научно-исследовательские и проектные институты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140 - 170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Производственные здания, коммунально-складские объекты, размещаемые в составе многофункциональных зон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proofErr w:type="gramStart"/>
            <w:r>
              <w:t>Работающие</w:t>
            </w:r>
            <w:proofErr w:type="gramEnd"/>
            <w:r>
              <w:t xml:space="preserve"> в двух смежных сменах, чел.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6 - 8</w:t>
            </w:r>
          </w:p>
        </w:tc>
      </w:tr>
      <w:tr w:rsidR="003B4FEA">
        <w:tc>
          <w:tcPr>
            <w:tcW w:w="4260" w:type="dxa"/>
          </w:tcPr>
          <w:p w:rsidR="003B4FEA" w:rsidRDefault="003B4FEA">
            <w:pPr>
              <w:pStyle w:val="ConsPlusNormal"/>
            </w:pPr>
            <w:r>
              <w:t>Объекты производственного и коммунального назначения, размещаемые на участках территорий производственных и промышленно-производственных объектов</w:t>
            </w:r>
          </w:p>
        </w:tc>
        <w:tc>
          <w:tcPr>
            <w:tcW w:w="2520" w:type="dxa"/>
          </w:tcPr>
          <w:p w:rsidR="003B4FEA" w:rsidRDefault="003B4FEA">
            <w:pPr>
              <w:pStyle w:val="ConsPlusNormal"/>
              <w:jc w:val="center"/>
            </w:pPr>
            <w:r>
              <w:t>100 чел., работающих в двух смежных сменах</w:t>
            </w:r>
          </w:p>
        </w:tc>
        <w:tc>
          <w:tcPr>
            <w:tcW w:w="2280" w:type="dxa"/>
            <w:vAlign w:val="bottom"/>
          </w:tcPr>
          <w:p w:rsidR="003B4FEA" w:rsidRDefault="003B4FEA" w:rsidP="003B4FEA">
            <w:pPr>
              <w:pStyle w:val="ConsPlusNormal"/>
              <w:jc w:val="center"/>
            </w:pPr>
            <w:r>
              <w:t>7 - 10</w:t>
            </w:r>
          </w:p>
        </w:tc>
      </w:tr>
      <w:tr w:rsidR="003B4FEA">
        <w:tc>
          <w:tcPr>
            <w:tcW w:w="4260" w:type="dxa"/>
          </w:tcPr>
          <w:p w:rsidR="003B4FEA" w:rsidRDefault="003B4FEA">
            <w:pPr>
              <w:pStyle w:val="ConsPlusNormal"/>
            </w:pPr>
            <w:r>
              <w:t>Магазины-склады (мелкооптовой и розничной торговли, гипермаркеты)</w:t>
            </w:r>
          </w:p>
        </w:tc>
        <w:tc>
          <w:tcPr>
            <w:tcW w:w="2520" w:type="dxa"/>
          </w:tcPr>
          <w:p w:rsidR="003B4FEA" w:rsidRDefault="003B4FEA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расчетной площади</w:t>
            </w:r>
          </w:p>
        </w:tc>
        <w:tc>
          <w:tcPr>
            <w:tcW w:w="2280" w:type="dxa"/>
            <w:vAlign w:val="bottom"/>
          </w:tcPr>
          <w:p w:rsidR="003B4FEA" w:rsidRDefault="003B4FEA" w:rsidP="003B4FEA">
            <w:pPr>
              <w:pStyle w:val="ConsPlusNormal"/>
              <w:jc w:val="center"/>
            </w:pPr>
            <w:r>
              <w:t>30 - 35</w:t>
            </w:r>
          </w:p>
        </w:tc>
      </w:tr>
      <w:tr w:rsidR="003B4FEA">
        <w:tc>
          <w:tcPr>
            <w:tcW w:w="4260" w:type="dxa"/>
          </w:tcPr>
          <w:p w:rsidR="003B4FEA" w:rsidRDefault="003B4FEA">
            <w:pPr>
              <w:pStyle w:val="ConsPlusNormal"/>
            </w:pPr>
            <w:r>
              <w:t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 и т.п.)</w:t>
            </w:r>
          </w:p>
        </w:tc>
        <w:tc>
          <w:tcPr>
            <w:tcW w:w="2520" w:type="dxa"/>
          </w:tcPr>
          <w:p w:rsidR="003B4FEA" w:rsidRDefault="003B4FEA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расчетной площади</w:t>
            </w:r>
          </w:p>
        </w:tc>
        <w:tc>
          <w:tcPr>
            <w:tcW w:w="2280" w:type="dxa"/>
            <w:vAlign w:val="bottom"/>
          </w:tcPr>
          <w:p w:rsidR="003B4FEA" w:rsidRDefault="003B4FEA" w:rsidP="003B4FEA">
            <w:pPr>
              <w:pStyle w:val="ConsPlusNormal"/>
              <w:jc w:val="center"/>
            </w:pPr>
            <w:r>
              <w:t>40 - 50</w:t>
            </w:r>
          </w:p>
        </w:tc>
      </w:tr>
      <w:tr w:rsidR="003B4FEA">
        <w:tc>
          <w:tcPr>
            <w:tcW w:w="4260" w:type="dxa"/>
          </w:tcPr>
          <w:p w:rsidR="003B4FEA" w:rsidRDefault="003B4FEA">
            <w:pPr>
              <w:pStyle w:val="ConsPlusNormal"/>
            </w:pPr>
            <w:r>
              <w:t>Специализированные магазины по продаже товаров эпизодического спроса непродовольственной группы (спортивные, автосалоны, мебельные, бытовой техники, музыкальных инструментов, ювелирные, книжные и т.п.)</w:t>
            </w:r>
          </w:p>
        </w:tc>
        <w:tc>
          <w:tcPr>
            <w:tcW w:w="2520" w:type="dxa"/>
          </w:tcPr>
          <w:p w:rsidR="003B4FEA" w:rsidRDefault="003B4FEA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расчетной площади</w:t>
            </w:r>
          </w:p>
        </w:tc>
        <w:tc>
          <w:tcPr>
            <w:tcW w:w="2280" w:type="dxa"/>
            <w:vAlign w:val="bottom"/>
          </w:tcPr>
          <w:p w:rsidR="003B4FEA" w:rsidRDefault="003B4FEA" w:rsidP="003B4FEA">
            <w:pPr>
              <w:pStyle w:val="ConsPlusNormal"/>
              <w:jc w:val="center"/>
            </w:pPr>
            <w:r>
              <w:t>60 - 70</w:t>
            </w: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>Рынки постоянные:</w:t>
            </w:r>
          </w:p>
        </w:tc>
        <w:tc>
          <w:tcPr>
            <w:tcW w:w="252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</w:p>
        </w:tc>
        <w:tc>
          <w:tcPr>
            <w:tcW w:w="2280" w:type="dxa"/>
            <w:tcBorders>
              <w:bottom w:val="nil"/>
            </w:tcBorders>
            <w:vAlign w:val="bottom"/>
          </w:tcPr>
          <w:p w:rsidR="00E268EE" w:rsidRDefault="00E268EE">
            <w:pPr>
              <w:pStyle w:val="ConsPlusNormal"/>
            </w:pP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top w:val="nil"/>
            </w:tcBorders>
          </w:tcPr>
          <w:p w:rsidR="00E268EE" w:rsidRDefault="00E268EE">
            <w:pPr>
              <w:pStyle w:val="ConsPlusNormal"/>
            </w:pPr>
            <w:r>
              <w:t>- универсальные и непродовольственные</w:t>
            </w:r>
          </w:p>
        </w:tc>
        <w:tc>
          <w:tcPr>
            <w:tcW w:w="2520" w:type="dxa"/>
            <w:tcBorders>
              <w:top w:val="nil"/>
            </w:tcBorders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tcBorders>
              <w:top w:val="nil"/>
            </w:tcBorders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30 - 40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- продовольственные и сельскохозяйственные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40 - 50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Предприятия общественного питания периодического спроса (рестораны, кафе)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Посадочные места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4 - 5</w:t>
            </w: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>Объекты коммунально-бытового обслуживания:</w:t>
            </w:r>
          </w:p>
        </w:tc>
        <w:tc>
          <w:tcPr>
            <w:tcW w:w="252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</w:p>
        </w:tc>
        <w:tc>
          <w:tcPr>
            <w:tcW w:w="2280" w:type="dxa"/>
            <w:tcBorders>
              <w:bottom w:val="nil"/>
            </w:tcBorders>
            <w:vAlign w:val="bottom"/>
          </w:tcPr>
          <w:p w:rsidR="00E268EE" w:rsidRDefault="00E268EE">
            <w:pPr>
              <w:pStyle w:val="ConsPlusNormal"/>
            </w:pP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top w:val="nil"/>
            </w:tcBorders>
          </w:tcPr>
          <w:p w:rsidR="00E268EE" w:rsidRDefault="00E268EE">
            <w:pPr>
              <w:pStyle w:val="ConsPlusNormal"/>
            </w:pPr>
            <w:r>
              <w:lastRenderedPageBreak/>
              <w:t>- бани</w:t>
            </w:r>
          </w:p>
        </w:tc>
        <w:tc>
          <w:tcPr>
            <w:tcW w:w="2520" w:type="dxa"/>
            <w:tcBorders>
              <w:top w:val="nil"/>
            </w:tcBorders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tcBorders>
              <w:top w:val="nil"/>
            </w:tcBorders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5 - 6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- 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10 - 15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- салоны ритуальных услуг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20 - 25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- 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Рабочее место приемщика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1 - 2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Гостиницы</w:t>
            </w:r>
          </w:p>
        </w:tc>
        <w:tc>
          <w:tcPr>
            <w:tcW w:w="4800" w:type="dxa"/>
            <w:gridSpan w:val="2"/>
          </w:tcPr>
          <w:p w:rsidR="00E268EE" w:rsidRDefault="00E268EE">
            <w:pPr>
              <w:pStyle w:val="ConsPlusNormal"/>
              <w:jc w:val="center"/>
            </w:pPr>
            <w:r>
              <w:t xml:space="preserve">По </w:t>
            </w:r>
            <w:hyperlink r:id="rId8">
              <w:r w:rsidRPr="00B51CEF">
                <w:t>СП 257.1325800</w:t>
              </w:r>
            </w:hyperlink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proofErr w:type="spellStart"/>
            <w:r>
              <w:t>Выставочно</w:t>
            </w:r>
            <w:proofErr w:type="spellEnd"/>
            <w:r>
              <w:t>-музейные комплексы, музеи-заповедники, музеи, галереи, выставочные залы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6 - 8</w:t>
            </w: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>Здания театрально-зрелищные</w:t>
            </w:r>
          </w:p>
        </w:tc>
        <w:tc>
          <w:tcPr>
            <w:tcW w:w="4800" w:type="dxa"/>
            <w:gridSpan w:val="2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 xml:space="preserve">В соответствии с </w:t>
            </w:r>
            <w:hyperlink r:id="rId9">
              <w:r w:rsidRPr="00B51CEF">
                <w:t>СП 309.1325800</w:t>
              </w:r>
            </w:hyperlink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Центральные, специальные и специализированные библиотеки, интернет-кафе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Постоянные места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6 - 8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Объекты религиозных конфессий (церкви, костелы, мечети, синагоги и др.)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8 - 10,</w:t>
            </w:r>
          </w:p>
          <w:p w:rsidR="00E268EE" w:rsidRDefault="00E268EE">
            <w:pPr>
              <w:pStyle w:val="ConsPlusNormal"/>
              <w:jc w:val="center"/>
            </w:pPr>
            <w:r>
              <w:t xml:space="preserve">но не менее 10 </w:t>
            </w:r>
            <w:proofErr w:type="spellStart"/>
            <w:r>
              <w:t>машино</w:t>
            </w:r>
            <w:proofErr w:type="spellEnd"/>
            <w:r>
              <w:t>-мест на объект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Досугово-развлекательные учреждения: развлекательные центры, дискотеки, залы игровых автоматов, ночные клубы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4 - 7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Бильярдные, боулинги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3 - 4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Здания и помещения медицинских организаций</w:t>
            </w:r>
          </w:p>
        </w:tc>
        <w:tc>
          <w:tcPr>
            <w:tcW w:w="4800" w:type="dxa"/>
            <w:gridSpan w:val="2"/>
          </w:tcPr>
          <w:p w:rsidR="00E268EE" w:rsidRDefault="00E268EE">
            <w:pPr>
              <w:pStyle w:val="ConsPlusNormal"/>
              <w:jc w:val="center"/>
            </w:pPr>
            <w:r>
              <w:t>По</w:t>
            </w:r>
            <w:r w:rsidRPr="00B51CEF">
              <w:t xml:space="preserve"> </w:t>
            </w:r>
            <w:hyperlink r:id="rId10">
              <w:r w:rsidRPr="00B51CEF">
                <w:t>СП 158.13330</w:t>
              </w:r>
            </w:hyperlink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Спортивные комплексы и стадионы с трибунами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Места на трибунах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25 - 30</w:t>
            </w: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>Оздоровительные комплексы (</w:t>
            </w:r>
            <w:proofErr w:type="gramStart"/>
            <w:r>
              <w:t>фитнес-клубы</w:t>
            </w:r>
            <w:proofErr w:type="gramEnd"/>
            <w:r>
              <w:t>, ФОК, спортивные и тренажерные залы)</w:t>
            </w:r>
          </w:p>
        </w:tc>
        <w:tc>
          <w:tcPr>
            <w:tcW w:w="2520" w:type="dxa"/>
            <w:tcBorders>
              <w:bottom w:val="nil"/>
            </w:tcBorders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расчетной площади</w:t>
            </w:r>
          </w:p>
        </w:tc>
        <w:tc>
          <w:tcPr>
            <w:tcW w:w="2280" w:type="dxa"/>
            <w:tcBorders>
              <w:bottom w:val="nil"/>
            </w:tcBorders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25 - 55</w:t>
            </w: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top w:val="nil"/>
            </w:tcBorders>
          </w:tcPr>
          <w:p w:rsidR="00E268EE" w:rsidRDefault="00E268EE">
            <w:pPr>
              <w:pStyle w:val="ConsPlusNormal"/>
            </w:pPr>
            <w:r>
              <w:t>- общей площадью менее 1000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520" w:type="dxa"/>
            <w:tcBorders>
              <w:top w:val="nil"/>
            </w:tcBorders>
          </w:tcPr>
          <w:p w:rsidR="00E268EE" w:rsidRDefault="00E268EE">
            <w:pPr>
              <w:pStyle w:val="ConsPlusNormal"/>
            </w:pPr>
          </w:p>
        </w:tc>
        <w:tc>
          <w:tcPr>
            <w:tcW w:w="2280" w:type="dxa"/>
            <w:tcBorders>
              <w:top w:val="nil"/>
            </w:tcBorders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25 - 40</w:t>
            </w: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>- общей площадью 1000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и более</w:t>
            </w:r>
          </w:p>
        </w:tc>
        <w:tc>
          <w:tcPr>
            <w:tcW w:w="2520" w:type="dxa"/>
            <w:tcBorders>
              <w:bottom w:val="nil"/>
            </w:tcBorders>
          </w:tcPr>
          <w:p w:rsidR="00E268EE" w:rsidRDefault="00E268EE">
            <w:pPr>
              <w:pStyle w:val="ConsPlusNormal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расчетной площади</w:t>
            </w:r>
          </w:p>
        </w:tc>
        <w:tc>
          <w:tcPr>
            <w:tcW w:w="2280" w:type="dxa"/>
            <w:tcBorders>
              <w:bottom w:val="nil"/>
            </w:tcBorders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40 - 55</w:t>
            </w: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>Муниципальные детские физкультурно-оздоровительные объекты локального и районного уровней обслуживания:</w:t>
            </w:r>
          </w:p>
        </w:tc>
        <w:tc>
          <w:tcPr>
            <w:tcW w:w="252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</w:p>
        </w:tc>
        <w:tc>
          <w:tcPr>
            <w:tcW w:w="2280" w:type="dxa"/>
            <w:tcBorders>
              <w:bottom w:val="nil"/>
            </w:tcBorders>
            <w:vAlign w:val="bottom"/>
          </w:tcPr>
          <w:p w:rsidR="00E268EE" w:rsidRDefault="00E268EE">
            <w:pPr>
              <w:pStyle w:val="ConsPlusNormal"/>
            </w:pP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top w:val="nil"/>
            </w:tcBorders>
          </w:tcPr>
          <w:p w:rsidR="00E268EE" w:rsidRDefault="00E268EE">
            <w:pPr>
              <w:pStyle w:val="ConsPlusNormal"/>
            </w:pPr>
            <w:r>
              <w:t>- тренажерные залы площадью 150 - 500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520" w:type="dxa"/>
            <w:tcBorders>
              <w:top w:val="nil"/>
            </w:tcBorders>
          </w:tcPr>
          <w:p w:rsidR="00E268EE" w:rsidRDefault="00E268EE">
            <w:pPr>
              <w:pStyle w:val="ConsPlusNormal"/>
              <w:jc w:val="center"/>
            </w:pPr>
            <w:r>
              <w:t xml:space="preserve">Единовременные </w:t>
            </w:r>
            <w:r>
              <w:lastRenderedPageBreak/>
              <w:t>посетители</w:t>
            </w:r>
          </w:p>
        </w:tc>
        <w:tc>
          <w:tcPr>
            <w:tcW w:w="2280" w:type="dxa"/>
            <w:tcBorders>
              <w:top w:val="nil"/>
            </w:tcBorders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lastRenderedPageBreak/>
              <w:t>8 - 10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lastRenderedPageBreak/>
              <w:t>- ФОК с залом площадью 1000 - 2000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10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- ФОК с залом и бассейном общей площадью 2000 - 3000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5 - 7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Специализированные спортивные клубы и комплексы (теннис, конный спорт, горнолыжные центры и др.)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3 - 4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Аквапарки, бассейны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5 - 7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Катки с искусственным покрытием общей площадью более 3000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Единовременные посетители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6 - 7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Железнодорожные вокзалы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Пассажиры дальнего следования в час пик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8 - 10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Автовокзалы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Пассажиры в час пик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10 - 15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Аэровокзалы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Пассажиры в час пик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6 - 8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Речные порты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Пассажиры в час пик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7 - 9</w:t>
            </w:r>
          </w:p>
        </w:tc>
      </w:tr>
      <w:tr w:rsidR="00E268EE">
        <w:tblPrEx>
          <w:tblBorders>
            <w:insideH w:val="nil"/>
          </w:tblBorders>
        </w:tblPrEx>
        <w:tc>
          <w:tcPr>
            <w:tcW w:w="426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>Исправительные учреждения и центры уголовно-исполнительной системы</w:t>
            </w:r>
          </w:p>
        </w:tc>
        <w:tc>
          <w:tcPr>
            <w:tcW w:w="2520" w:type="dxa"/>
            <w:tcBorders>
              <w:bottom w:val="nil"/>
            </w:tcBorders>
          </w:tcPr>
          <w:p w:rsidR="00E268EE" w:rsidRDefault="00E268EE">
            <w:pPr>
              <w:pStyle w:val="ConsPlusNormal"/>
            </w:pPr>
            <w:r>
              <w:t xml:space="preserve">Одно </w:t>
            </w:r>
            <w:proofErr w:type="spellStart"/>
            <w:r>
              <w:t>машино</w:t>
            </w:r>
            <w:proofErr w:type="spellEnd"/>
            <w:r>
              <w:t xml:space="preserve">-место на следующее количество расчетных единиц по </w:t>
            </w:r>
            <w:hyperlink r:id="rId11">
              <w:r w:rsidRPr="00B51CEF">
                <w:t>СП 308.1325800</w:t>
              </w:r>
            </w:hyperlink>
          </w:p>
        </w:tc>
        <w:tc>
          <w:tcPr>
            <w:tcW w:w="2280" w:type="dxa"/>
            <w:tcBorders>
              <w:bottom w:val="nil"/>
            </w:tcBorders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7 - 9</w:t>
            </w:r>
          </w:p>
        </w:tc>
      </w:tr>
      <w:tr w:rsidR="00E268EE">
        <w:tc>
          <w:tcPr>
            <w:tcW w:w="9060" w:type="dxa"/>
            <w:gridSpan w:val="3"/>
          </w:tcPr>
          <w:p w:rsidR="00E268EE" w:rsidRDefault="00E268EE">
            <w:pPr>
              <w:pStyle w:val="ConsPlusNormal"/>
              <w:jc w:val="center"/>
            </w:pPr>
            <w:r>
              <w:rPr>
                <w:b/>
              </w:rPr>
              <w:t>Рекреационные территории и объекты отдыха</w:t>
            </w:r>
          </w:p>
        </w:tc>
      </w:tr>
      <w:tr w:rsidR="00E268EE">
        <w:tc>
          <w:tcPr>
            <w:tcW w:w="4260" w:type="dxa"/>
          </w:tcPr>
          <w:p w:rsidR="00E268EE" w:rsidRDefault="00363509">
            <w:pPr>
              <w:pStyle w:val="ConsPlusNormal"/>
            </w:pPr>
            <w:r>
              <w:t>Пляжи, скверы и</w:t>
            </w:r>
            <w:r w:rsidR="00E268EE">
              <w:t xml:space="preserve"> парки в зонах отдыха</w:t>
            </w:r>
            <w:r>
              <w:t xml:space="preserve"> и на землях общего пользования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100 единовременных посетителей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15 - 20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Лесопарки и заповедники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100 единовременных посетителей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7 - 10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100 единовременных посетителей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10 - 15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Береговые базы маломерного флота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100 единовременных посетителей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10 - 15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100 отдыхающих и обслуживающего персонала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3 - 5</w:t>
            </w:r>
          </w:p>
        </w:tc>
      </w:tr>
      <w:tr w:rsidR="00E268EE">
        <w:tc>
          <w:tcPr>
            <w:tcW w:w="4260" w:type="dxa"/>
          </w:tcPr>
          <w:p w:rsidR="00E268EE" w:rsidRDefault="00E268EE">
            <w:pPr>
              <w:pStyle w:val="ConsPlusNormal"/>
            </w:pPr>
            <w:r>
              <w:t>Предприятия общественного питания, торговли</w:t>
            </w:r>
          </w:p>
        </w:tc>
        <w:tc>
          <w:tcPr>
            <w:tcW w:w="2520" w:type="dxa"/>
          </w:tcPr>
          <w:p w:rsidR="00E268EE" w:rsidRDefault="00E268EE">
            <w:pPr>
              <w:pStyle w:val="ConsPlusNormal"/>
              <w:jc w:val="center"/>
            </w:pPr>
            <w:r>
              <w:t>100 мест в залах или единовременных посетителей и персонала</w:t>
            </w:r>
          </w:p>
        </w:tc>
        <w:tc>
          <w:tcPr>
            <w:tcW w:w="2280" w:type="dxa"/>
            <w:vAlign w:val="bottom"/>
          </w:tcPr>
          <w:p w:rsidR="00E268EE" w:rsidRDefault="00E268EE">
            <w:pPr>
              <w:pStyle w:val="ConsPlusNormal"/>
              <w:jc w:val="center"/>
            </w:pPr>
            <w:r>
              <w:t>7 - 10</w:t>
            </w:r>
          </w:p>
        </w:tc>
      </w:tr>
    </w:tbl>
    <w:p w:rsidR="00551CDF" w:rsidRDefault="00551CDF" w:rsidP="00900E7F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</w:p>
    <w:p w:rsidR="00551CDF" w:rsidRDefault="00551CDF" w:rsidP="00900E7F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</w:p>
    <w:p w:rsidR="00551CDF" w:rsidRDefault="00551CDF" w:rsidP="00900E7F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</w:p>
    <w:p w:rsidR="00900E7F" w:rsidRPr="00900E7F" w:rsidRDefault="00900E7F" w:rsidP="00096B4D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  <w:r w:rsidRPr="00900E7F">
        <w:rPr>
          <w:rFonts w:ascii="Arial" w:eastAsia="Times New Roman" w:hAnsi="Arial" w:cs="Arial"/>
          <w:lang w:eastAsia="ru-RU"/>
        </w:rPr>
        <w:lastRenderedPageBreak/>
        <w:t>Пр</w:t>
      </w:r>
      <w:bookmarkStart w:id="0" w:name="_GoBack"/>
      <w:bookmarkEnd w:id="0"/>
      <w:r w:rsidRPr="00900E7F">
        <w:rPr>
          <w:rFonts w:ascii="Arial" w:eastAsia="Times New Roman" w:hAnsi="Arial" w:cs="Arial"/>
          <w:lang w:eastAsia="ru-RU"/>
        </w:rPr>
        <w:t>имечания</w:t>
      </w:r>
    </w:p>
    <w:p w:rsidR="00900E7F" w:rsidRPr="00900E7F" w:rsidRDefault="00900E7F" w:rsidP="00096B4D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  <w:r w:rsidRPr="00900E7F">
        <w:rPr>
          <w:rFonts w:ascii="Arial" w:eastAsia="Times New Roman" w:hAnsi="Arial" w:cs="Arial"/>
          <w:lang w:eastAsia="ru-RU"/>
        </w:rPr>
        <w:t>*</w:t>
      </w:r>
      <w:r w:rsidRPr="00900E7F">
        <w:rPr>
          <w:rFonts w:ascii="Arial" w:eastAsia="Times New Roman" w:hAnsi="Arial" w:cs="Arial"/>
          <w:b/>
          <w:lang w:eastAsia="ru-RU"/>
        </w:rPr>
        <w:t xml:space="preserve"> </w:t>
      </w:r>
      <w:r w:rsidRPr="00900E7F">
        <w:rPr>
          <w:rFonts w:ascii="Arial" w:eastAsia="Times New Roman" w:hAnsi="Arial" w:cs="Arial"/>
          <w:lang w:eastAsia="ru-RU"/>
        </w:rPr>
        <w:t>для кратковременной остановки автотранспорта родителей, привозящих детей в общеобразовательные и дошкольные общеобразовательные организации.</w:t>
      </w:r>
    </w:p>
    <w:p w:rsidR="00900E7F" w:rsidRPr="00900E7F" w:rsidRDefault="00900E7F" w:rsidP="00096B4D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  <w:r w:rsidRPr="00900E7F">
        <w:rPr>
          <w:rFonts w:ascii="Arial" w:eastAsia="Times New Roman" w:hAnsi="Arial" w:cs="Arial"/>
          <w:lang w:eastAsia="ru-RU"/>
        </w:rPr>
        <w:t>1</w:t>
      </w:r>
      <w:proofErr w:type="gramStart"/>
      <w:r w:rsidRPr="00900E7F">
        <w:rPr>
          <w:rFonts w:ascii="Arial" w:eastAsia="Times New Roman" w:hAnsi="Arial" w:cs="Arial"/>
          <w:lang w:eastAsia="ru-RU"/>
        </w:rPr>
        <w:t xml:space="preserve"> В</w:t>
      </w:r>
      <w:proofErr w:type="gramEnd"/>
      <w:r w:rsidRPr="00900E7F">
        <w:rPr>
          <w:rFonts w:ascii="Arial" w:eastAsia="Times New Roman" w:hAnsi="Arial" w:cs="Arial"/>
          <w:lang w:eastAsia="ru-RU"/>
        </w:rPr>
        <w:t xml:space="preserve"> зонах жилой застройки следует предусматривать стоянки для хранения легкового автотранспорта населения при пешеходной доступности не более 800 м, а в районах реконструкции - не более 1000 м.</w:t>
      </w:r>
    </w:p>
    <w:p w:rsidR="00900E7F" w:rsidRPr="00900E7F" w:rsidRDefault="00900E7F" w:rsidP="00096B4D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  <w:r w:rsidRPr="00900E7F">
        <w:rPr>
          <w:rFonts w:ascii="Arial" w:eastAsia="Times New Roman" w:hAnsi="Arial" w:cs="Arial"/>
          <w:lang w:eastAsia="ru-RU"/>
        </w:rPr>
        <w:t>2 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</w:r>
    </w:p>
    <w:p w:rsidR="00900E7F" w:rsidRPr="00900E7F" w:rsidRDefault="00900E7F" w:rsidP="00096B4D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  <w:r w:rsidRPr="00900E7F">
        <w:rPr>
          <w:rFonts w:ascii="Arial" w:eastAsia="Times New Roman" w:hAnsi="Arial" w:cs="Arial"/>
          <w:lang w:eastAsia="ru-RU"/>
        </w:rPr>
        <w:t xml:space="preserve">3 Стоянки туристических автобусов и парковочные места для </w:t>
      </w:r>
      <w:proofErr w:type="gramStart"/>
      <w:r w:rsidRPr="00900E7F">
        <w:rPr>
          <w:rFonts w:ascii="Arial" w:eastAsia="Times New Roman" w:hAnsi="Arial" w:cs="Arial"/>
          <w:lang w:eastAsia="ru-RU"/>
        </w:rPr>
        <w:t>легковых автомобилей, принадлежащих туристам должны быть размещены</w:t>
      </w:r>
      <w:proofErr w:type="gramEnd"/>
      <w:r w:rsidRPr="00900E7F">
        <w:rPr>
          <w:rFonts w:ascii="Arial" w:eastAsia="Times New Roman" w:hAnsi="Arial" w:cs="Arial"/>
          <w:lang w:eastAsia="ru-RU"/>
        </w:rPr>
        <w:t xml:space="preserve"> с учетом обеспечения удобных подходов к объектам туристского осмотра, но не далее 500 м от них и не нарушать целостный характер исторической среды. </w:t>
      </w:r>
    </w:p>
    <w:p w:rsidR="00900E7F" w:rsidRPr="00900E7F" w:rsidRDefault="00900E7F" w:rsidP="00096B4D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  <w:r w:rsidRPr="00900E7F">
        <w:rPr>
          <w:rFonts w:ascii="Arial" w:eastAsia="Times New Roman" w:hAnsi="Arial" w:cs="Arial"/>
          <w:lang w:eastAsia="ru-RU"/>
        </w:rPr>
        <w:t xml:space="preserve">4 Вместимость стоянок для парковки туристических автобусов у железнодорожных вокзалов следует принимать по норме 3 - 4 </w:t>
      </w:r>
      <w:proofErr w:type="spellStart"/>
      <w:r w:rsidRPr="00900E7F">
        <w:rPr>
          <w:rFonts w:ascii="Arial" w:eastAsia="Times New Roman" w:hAnsi="Arial" w:cs="Arial"/>
          <w:lang w:eastAsia="ru-RU"/>
        </w:rPr>
        <w:t>машино</w:t>
      </w:r>
      <w:proofErr w:type="spellEnd"/>
      <w:r w:rsidRPr="00900E7F">
        <w:rPr>
          <w:rFonts w:ascii="Arial" w:eastAsia="Times New Roman" w:hAnsi="Arial" w:cs="Arial"/>
          <w:lang w:eastAsia="ru-RU"/>
        </w:rPr>
        <w:t>-места на 100 пассажиров (туристов), прибывающих в часы пик.</w:t>
      </w:r>
    </w:p>
    <w:p w:rsidR="00900E7F" w:rsidRPr="00900E7F" w:rsidRDefault="00900E7F" w:rsidP="00096B4D">
      <w:pPr>
        <w:widowControl w:val="0"/>
        <w:autoSpaceDE w:val="0"/>
        <w:autoSpaceDN w:val="0"/>
        <w:spacing w:after="0" w:line="240" w:lineRule="auto"/>
        <w:ind w:firstLine="283"/>
        <w:jc w:val="both"/>
        <w:rPr>
          <w:rFonts w:ascii="Arial" w:eastAsia="Times New Roman" w:hAnsi="Arial" w:cs="Arial"/>
          <w:lang w:eastAsia="ru-RU"/>
        </w:rPr>
      </w:pPr>
      <w:r w:rsidRPr="00900E7F">
        <w:rPr>
          <w:rFonts w:ascii="Arial" w:eastAsia="Times New Roman" w:hAnsi="Arial" w:cs="Arial"/>
          <w:lang w:eastAsia="ru-RU"/>
        </w:rPr>
        <w:t>Параметры парковки должны рассчитываться с учетом класса вместимости автобусов, но не менее по ширине - 3,0 м, по длине - 8,5 м и безопасного прохода пешеходов между границами парковочных мест шириной не менее 0,75 м.</w:t>
      </w:r>
    </w:p>
    <w:p w:rsidR="00096B4D" w:rsidRDefault="00900E7F" w:rsidP="00096B4D">
      <w:pPr>
        <w:spacing w:after="0"/>
        <w:jc w:val="both"/>
        <w:rPr>
          <w:rFonts w:ascii="Arial" w:hAnsi="Arial" w:cs="Arial"/>
        </w:rPr>
      </w:pPr>
      <w:r w:rsidRPr="00900E7F">
        <w:rPr>
          <w:rFonts w:ascii="Arial" w:hAnsi="Arial" w:cs="Arial"/>
        </w:rPr>
        <w:t>5 Перечень зданий и сооружений уточняется в соответствующих сводах правил, регламентирующих проектирование зданий и сооружений, площадок и помещений, предназначенных для стоянок.</w:t>
      </w:r>
    </w:p>
    <w:p w:rsidR="00096B4D" w:rsidRPr="00096B4D" w:rsidRDefault="00096B4D" w:rsidP="00096B4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Гостевые стоянки для многоквартирных жилых домов принимаются в соответствии с Правилами землепользования и </w:t>
      </w:r>
      <w:r w:rsidR="00F76727">
        <w:rPr>
          <w:rFonts w:ascii="Arial" w:hAnsi="Arial" w:cs="Arial"/>
        </w:rPr>
        <w:t>застройки городского округа «</w:t>
      </w:r>
      <w:r w:rsidR="000A6BCC">
        <w:rPr>
          <w:rFonts w:ascii="Arial" w:hAnsi="Arial" w:cs="Arial"/>
        </w:rPr>
        <w:t>Город Орел», утвержденными</w:t>
      </w:r>
      <w:r>
        <w:rPr>
          <w:rFonts w:ascii="Arial" w:hAnsi="Arial" w:cs="Arial"/>
        </w:rPr>
        <w:t xml:space="preserve"> решением Орловского городского Совета народных депутатов</w:t>
      </w:r>
      <w:r w:rsidRPr="00096B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от 30.10.2008 г. № 38/616-ГС</w:t>
      </w:r>
    </w:p>
    <w:sectPr w:rsidR="00096B4D" w:rsidRPr="00096B4D" w:rsidSect="00900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EE"/>
    <w:rsid w:val="00096B4D"/>
    <w:rsid w:val="000A6BCC"/>
    <w:rsid w:val="00363509"/>
    <w:rsid w:val="003B4FEA"/>
    <w:rsid w:val="0049485A"/>
    <w:rsid w:val="00551CDF"/>
    <w:rsid w:val="00900E7F"/>
    <w:rsid w:val="00B51CEF"/>
    <w:rsid w:val="00DA6DEA"/>
    <w:rsid w:val="00E268EE"/>
    <w:rsid w:val="00E4447B"/>
    <w:rsid w:val="00F7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8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8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TR&amp;n=2704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TR&amp;n=18541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TR&amp;n=30430" TargetMode="External"/><Relationship Id="rId11" Type="http://schemas.openxmlformats.org/officeDocument/2006/relationships/hyperlink" Target="https://login.consultant.ru/link/?req=doc&amp;base=STR&amp;n=31317" TargetMode="External"/><Relationship Id="rId5" Type="http://schemas.openxmlformats.org/officeDocument/2006/relationships/hyperlink" Target="https://login.consultant.ru/link/?req=doc&amp;base=STR&amp;n=26958" TargetMode="External"/><Relationship Id="rId10" Type="http://schemas.openxmlformats.org/officeDocument/2006/relationships/hyperlink" Target="https://login.consultant.ru/link/?req=doc&amp;base=STR&amp;n=272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TR&amp;n=219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5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2024-04-04T08:28:00Z</cp:lastPrinted>
  <dcterms:created xsi:type="dcterms:W3CDTF">2024-03-22T08:23:00Z</dcterms:created>
  <dcterms:modified xsi:type="dcterms:W3CDTF">2024-04-04T15:08:00Z</dcterms:modified>
</cp:coreProperties>
</file>