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Федеральным законом от 06.06.2019 N 137-ФЗ внесены изменения в статью 251 части второй Налогового кодекса Российской Федерации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Установлено, что доходы в виде процентов, формирующие фонд капитального ремонта, не облагаются налогом на прибыль организаций.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Указанные средства согласно части 3 статьи 179 Жилищного кодекса РФ учитываются на отдельных счетах, открытых для формирования фондов капитального ремонта, и могут использоваться только на финансирование расходов на капитальный ремонт общего имущества многоквартирных домов.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Учитывая целевой характер указанных средств, доходы в виде процентов, начисленных за пользование денежными средствами, а также доходы, полученные от размещения временно свободных средств фонда капитального ремонта, настоящим Законом отнесены к средствам целевого финансирования, не учитываемым при определении налоговой базы по налогу на прибыль организаций.</w:t>
      </w:r>
    </w:p>
    <w:p w:rsidR="00B72A5F" w:rsidRPr="00AA3CD8" w:rsidRDefault="00AA3CD8" w:rsidP="00AA3CD8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B72A5F" w:rsidRPr="00AA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9309B0"/>
    <w:rsid w:val="0095467F"/>
    <w:rsid w:val="00AA3CD8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B82A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2020-06-25T08:35:00Z</dcterms:modified>
</cp:coreProperties>
</file>