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7 сентября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 сентября 2015 г., малый зал администрации Северного района города Орла (Московское шоссе, 137)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19 августа 2015 года № 66-П.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rFonts w:cs="Arial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</w:t>
      </w:r>
      <w:r>
        <w:rPr>
          <w:rFonts w:cs="Arial"/>
          <w:b w:val="false"/>
          <w:bCs w:val="false"/>
          <w:sz w:val="28"/>
          <w:szCs w:val="28"/>
        </w:rPr>
        <w:t>57:25:0040409:71 площадью 800 кв. м по ул. Леженской, 19, принадлежащем Столяровой Надежде Ивановне на праве собственности, в части минимального отступа от границы земельного участка с юго-западной стороны - 0,3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6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57:25:0040409:71 площадью 800 кв.м,  расположенном по ул. Леженской, 19.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Леженской, 19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города, 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bookmarkStart w:id="0" w:name="__DdeLink__859_7083084941"/>
      <w:bookmarkEnd w:id="0"/>
      <w:r>
        <w:rPr>
          <w:sz w:val="28"/>
          <w:szCs w:val="28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2015-09-07T12:12:14Z</cp:lastPrinted>
  <dcterms:modified xsi:type="dcterms:W3CDTF">2015-07-21T10:49:32Z</dcterms:modified>
  <cp:revision>550</cp:revision>
</cp:coreProperties>
</file>