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E5" w:rsidRDefault="009F20E5" w:rsidP="009F20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F20E5" w:rsidRDefault="009F20E5" w:rsidP="009F20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F20E5" w:rsidRDefault="009F20E5" w:rsidP="009F20E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9F20E5" w:rsidRDefault="009F20E5" w:rsidP="009F20E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«16» ноября 2020 г.</w:t>
      </w:r>
    </w:p>
    <w:p w:rsidR="009F20E5" w:rsidRDefault="009F20E5" w:rsidP="009F20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57:25:0031016:163, площадью 240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Штернберга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22, в части: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минимальной площади земельного участка менее 250 кв. м (240 кв. м);</w:t>
      </w:r>
    </w:p>
    <w:p w:rsidR="009F20E5" w:rsidRDefault="009F20E5" w:rsidP="009F20E5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минимальных </w:t>
      </w:r>
      <w:r>
        <w:rPr>
          <w:b/>
          <w:sz w:val="28"/>
          <w:szCs w:val="28"/>
          <w:lang w:val="ru-RU"/>
        </w:rPr>
        <w:t>отступов от границ земельного участка с северо-восточной стороны на расстоянии 0 м, с северо-западной стороны на расстоянии 0 м, с юго-восточной стороны на расстоянии 0 м, с юго-западной стороны на расстоянии 0 м;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максимального процента застройки более 40 % (100 %)»</w:t>
      </w:r>
    </w:p>
    <w:p w:rsidR="009F20E5" w:rsidRDefault="009F20E5" w:rsidP="009F20E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F20E5" w:rsidRDefault="009F20E5" w:rsidP="009F20E5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9F20E5" w:rsidRDefault="009F20E5" w:rsidP="009F20E5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19.10.2020 г. № 124 -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9F20E5" w:rsidRDefault="009F20E5" w:rsidP="009F20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20E5" w:rsidRDefault="009F20E5" w:rsidP="009F20E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9F20E5" w:rsidRDefault="009F20E5" w:rsidP="009F20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20E5" w:rsidRDefault="009F20E5" w:rsidP="009F20E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«12» ноября 2020 года № 118</w:t>
      </w:r>
    </w:p>
    <w:p w:rsidR="009F20E5" w:rsidRDefault="009F20E5" w:rsidP="009F20E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20E5" w:rsidRDefault="009F20E5" w:rsidP="009F20E5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F20E5" w:rsidRDefault="009F20E5" w:rsidP="009F20E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425"/>
        <w:gridCol w:w="3336"/>
      </w:tblGrid>
      <w:tr w:rsidR="009F20E5" w:rsidTr="009F20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F20E5" w:rsidTr="009F20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F20E5" w:rsidRDefault="009F20E5" w:rsidP="009F20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E5" w:rsidRDefault="009F20E5" w:rsidP="009F20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E5" w:rsidRDefault="009F20E5" w:rsidP="009F20E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F20E5" w:rsidRDefault="009F20E5" w:rsidP="009F20E5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425"/>
        <w:gridCol w:w="3336"/>
      </w:tblGrid>
      <w:tr w:rsidR="009F20E5" w:rsidTr="009F20E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F20E5" w:rsidTr="009F20E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20E5" w:rsidRDefault="009F20E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0E5" w:rsidRDefault="009F20E5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Земельный участок по ул. </w:t>
            </w:r>
            <w:proofErr w:type="spellStart"/>
            <w:r>
              <w:rPr>
                <w:sz w:val="28"/>
                <w:szCs w:val="28"/>
                <w:lang w:val="ru-RU"/>
              </w:rPr>
              <w:t>Штернберга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22 размещается в территориальной зоне Ж-3 (зона застройки индивидуальными и малоэтажными жилыми домами). В данной </w:t>
            </w:r>
            <w:r>
              <w:rPr>
                <w:sz w:val="28"/>
                <w:szCs w:val="28"/>
                <w:lang w:val="ru-RU"/>
              </w:rPr>
              <w:lastRenderedPageBreak/>
              <w:t>зоне минимальные отступы от границы земельного участка должны составлять 3 м, максимальный процент застройки для жилых домов этажностью 2 – 40%.</w:t>
            </w:r>
          </w:p>
          <w:p w:rsidR="009F20E5" w:rsidRDefault="009F20E5">
            <w:pPr>
              <w:ind w:right="-1"/>
              <w:rPr>
                <w:sz w:val="28"/>
                <w:szCs w:val="28"/>
                <w:lang w:val="ru-RU"/>
              </w:rPr>
            </w:pPr>
          </w:p>
          <w:p w:rsidR="009F20E5" w:rsidRDefault="009F20E5">
            <w:pPr>
              <w:ind w:right="-1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Согласно пункту 1 статьи 40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ГрК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РФ за разрешениями на отклонение от предельных параметров разрешенного строительства, реконструкции объектов капитального строительства вправе обратиться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застройки.</w:t>
            </w:r>
          </w:p>
          <w:p w:rsidR="009F20E5" w:rsidRDefault="009F20E5">
            <w:pPr>
              <w:autoSpaceDE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Согласно пункту 2 статьи 40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ГрК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РФ о</w:t>
            </w:r>
            <w:r>
              <w:rPr>
                <w:rFonts w:eastAsiaTheme="minorHAnsi"/>
                <w:sz w:val="28"/>
                <w:szCs w:val="28"/>
                <w:lang w:val="ru-RU"/>
              </w:rPr>
              <w:t>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      </w:r>
          </w:p>
          <w:p w:rsidR="009F20E5" w:rsidRDefault="009F20E5">
            <w:pPr>
              <w:pStyle w:val="a3"/>
              <w:ind w:left="0"/>
              <w:rPr>
                <w:rFonts w:eastAsia="Calibri"/>
                <w:sz w:val="28"/>
                <w:szCs w:val="28"/>
                <w:lang w:val="ru-RU"/>
              </w:rPr>
            </w:pPr>
          </w:p>
          <w:p w:rsidR="009F20E5" w:rsidRDefault="009F20E5">
            <w:pPr>
              <w:pStyle w:val="a3"/>
              <w:ind w:left="0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Согласно пункту 7.1 «СП 42.13330.2016. Свод правил. Градостроительство. Планировка и застройка городских и сельских поселений. </w:t>
            </w: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Актуализированная редакция СНиП 2.07.01-89*» 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участках, должны быть не менее 6 м. Расстояние от границ участка до стены жилого дома должно быть не менее 3 м.</w:t>
            </w:r>
            <w:proofErr w:type="gramEnd"/>
          </w:p>
          <w:p w:rsidR="009F20E5" w:rsidRDefault="009F20E5">
            <w:pPr>
              <w:autoSpaceDE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Применение на обязательной основе пункта 7.1</w:t>
            </w:r>
            <w:r>
              <w:rPr>
                <w:rFonts w:eastAsiaTheme="minorHAnsi"/>
                <w:color w:val="000000" w:themeColor="text1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СП 42.13330.2016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обеспечивает соблюдение требований Федерального </w:t>
            </w:r>
            <w:hyperlink r:id="rId5" w:history="1">
              <w:r>
                <w:rPr>
                  <w:rStyle w:val="a4"/>
                  <w:rFonts w:eastAsiaTheme="minorHAnsi"/>
                  <w:color w:val="000000" w:themeColor="text1"/>
                  <w:sz w:val="28"/>
                  <w:szCs w:val="28"/>
                  <w:u w:val="none"/>
                  <w:lang w:val="ru-RU"/>
                </w:rPr>
                <w:t>закона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от 30.12.2009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br/>
              <w:t xml:space="preserve">№ 384-ФЗ «Технический регламент о безопасности зданий и сооружений»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lastRenderedPageBreak/>
              <w:t>(</w:t>
            </w:r>
            <w:hyperlink r:id="rId6" w:history="1">
              <w:r>
                <w:rPr>
                  <w:rStyle w:val="a4"/>
                  <w:rFonts w:eastAsiaTheme="minorHAnsi"/>
                  <w:color w:val="000000" w:themeColor="text1"/>
                  <w:sz w:val="28"/>
                  <w:szCs w:val="28"/>
                  <w:u w:val="none"/>
                  <w:lang w:val="ru-RU"/>
                </w:rPr>
                <w:t>Постановление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Правительства РФ от 04.07.2020 № 985).</w:t>
            </w:r>
          </w:p>
          <w:p w:rsidR="009F20E5" w:rsidRDefault="009F20E5">
            <w:pPr>
              <w:autoSpaceDE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  <w:p w:rsidR="009F20E5" w:rsidRDefault="009F20E5">
            <w:pPr>
              <w:pStyle w:val="a3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разрешению на строительство от 17.06.2013 г. № </w:t>
            </w:r>
            <w:r>
              <w:rPr>
                <w:sz w:val="28"/>
                <w:szCs w:val="28"/>
              </w:rPr>
              <w:t>RU</w:t>
            </w:r>
            <w:r>
              <w:rPr>
                <w:sz w:val="28"/>
                <w:szCs w:val="28"/>
                <w:lang w:val="ru-RU"/>
              </w:rPr>
              <w:t xml:space="preserve"> 57301000-173-В-5124 </w:t>
            </w:r>
            <w:proofErr w:type="spellStart"/>
            <w:r>
              <w:rPr>
                <w:sz w:val="28"/>
                <w:szCs w:val="28"/>
                <w:lang w:val="ru-RU"/>
              </w:rPr>
              <w:t>Верижникову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В.А. было разрешено строительство индивидуального двухэтажного жилого дома размером 7х10 м с отступами от границ земельного участка на расстоянии 3 м. </w:t>
            </w:r>
          </w:p>
          <w:p w:rsidR="009F20E5" w:rsidRDefault="009F20E5">
            <w:pPr>
              <w:pStyle w:val="a3"/>
              <w:ind w:left="0"/>
              <w:rPr>
                <w:sz w:val="28"/>
                <w:szCs w:val="28"/>
                <w:lang w:val="ru-RU"/>
              </w:rPr>
            </w:pPr>
          </w:p>
          <w:p w:rsidR="009F20E5" w:rsidRDefault="009F20E5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настоящее время построенный объект капитального строительства – жилой дом размещается по границе земельного участка, максимальный процент застройки составляет 100%, что нарушает требования статьи 40 </w:t>
            </w:r>
            <w:proofErr w:type="spellStart"/>
            <w:r>
              <w:rPr>
                <w:sz w:val="28"/>
                <w:szCs w:val="28"/>
                <w:lang w:val="ru-RU"/>
              </w:rPr>
              <w:t>ГрК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РФ, технических регламентов, а также нормы ранее выданного разрешение на строительство.</w:t>
            </w:r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20E5" w:rsidRDefault="009F20E5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высказанные замечания.</w:t>
            </w:r>
          </w:p>
        </w:tc>
      </w:tr>
    </w:tbl>
    <w:p w:rsidR="009F20E5" w:rsidRDefault="009F20E5" w:rsidP="009F20E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E5" w:rsidRDefault="009F20E5" w:rsidP="009F20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57:25:0031016:163, площадью 240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Штернберга</w:t>
      </w:r>
      <w:proofErr w:type="spellEnd"/>
      <w:r>
        <w:rPr>
          <w:rFonts w:cs="Times New Roman"/>
          <w:bCs/>
          <w:sz w:val="28"/>
          <w:szCs w:val="28"/>
          <w:lang w:val="ru-RU"/>
        </w:rPr>
        <w:t>, 22, в части: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250 кв. м (240 кв. м);</w:t>
      </w:r>
    </w:p>
    <w:p w:rsidR="009F20E5" w:rsidRDefault="009F20E5" w:rsidP="009F20E5">
      <w:pPr>
        <w:ind w:firstLine="708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минимальных </w:t>
      </w:r>
      <w:r>
        <w:rPr>
          <w:sz w:val="28"/>
          <w:szCs w:val="28"/>
          <w:lang w:val="ru-RU"/>
        </w:rPr>
        <w:t>отступов от границ земельного участка с северо-восточной стороны на расстоянии 0 м, с северо-западной стороны на расстоянии 0 м, с юго-восточной стороны на расстоянии 0 м, с юго-западной стороны на расстоянии 0 м;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максимального процента застройки более 40 % (100 %)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F20E5" w:rsidRDefault="009F20E5" w:rsidP="009F20E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9F20E5" w:rsidRDefault="009F20E5" w:rsidP="009F20E5">
      <w:pPr>
        <w:pStyle w:val="a3"/>
        <w:ind w:left="0"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Рекомендовать отказать в предоставлении </w:t>
      </w:r>
      <w:r>
        <w:rPr>
          <w:rFonts w:cs="Times New Roman"/>
          <w:bCs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57:25:0031016:163, площадью 240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Штернберга</w:t>
      </w:r>
      <w:proofErr w:type="spellEnd"/>
      <w:r>
        <w:rPr>
          <w:rFonts w:cs="Times New Roman"/>
          <w:bCs/>
          <w:sz w:val="28"/>
          <w:szCs w:val="28"/>
          <w:lang w:val="ru-RU"/>
        </w:rPr>
        <w:t>, 22, в части:</w:t>
      </w:r>
    </w:p>
    <w:p w:rsidR="009F20E5" w:rsidRDefault="009F20E5" w:rsidP="009F20E5">
      <w:pPr>
        <w:pStyle w:val="a3"/>
        <w:ind w:left="0" w:firstLine="706"/>
        <w:jc w:val="both"/>
        <w:rPr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  <w:lang w:val="ru-RU"/>
        </w:rPr>
        <w:t xml:space="preserve">минимальных </w:t>
      </w:r>
      <w:r>
        <w:rPr>
          <w:sz w:val="28"/>
          <w:szCs w:val="28"/>
          <w:lang w:val="ru-RU"/>
        </w:rPr>
        <w:t>отступов от границ земельного участка с северо-восточной стороны на расстоянии 0 м, с северо-западной стороны на расстоянии 0 м, с юго-восточной стороны на расстоянии 0 м, с юго-западной стороны на расстоянии 0 м;</w:t>
      </w:r>
    </w:p>
    <w:p w:rsidR="009F20E5" w:rsidRDefault="009F20E5" w:rsidP="009F20E5">
      <w:pPr>
        <w:pStyle w:val="a3"/>
        <w:ind w:left="0"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максимального процента застройки более 40 % (100 %),  в связи с нарушением требований статьи 40 </w:t>
      </w:r>
      <w:proofErr w:type="spellStart"/>
      <w:r>
        <w:rPr>
          <w:sz w:val="28"/>
          <w:szCs w:val="28"/>
          <w:lang w:val="ru-RU"/>
        </w:rPr>
        <w:t>ГрК</w:t>
      </w:r>
      <w:proofErr w:type="spellEnd"/>
      <w:r>
        <w:rPr>
          <w:sz w:val="28"/>
          <w:szCs w:val="28"/>
          <w:lang w:val="ru-RU"/>
        </w:rPr>
        <w:t xml:space="preserve"> РФ, </w:t>
      </w:r>
      <w:r>
        <w:rPr>
          <w:rFonts w:eastAsia="Calibri"/>
          <w:sz w:val="28"/>
          <w:szCs w:val="28"/>
          <w:lang w:val="ru-RU"/>
        </w:rPr>
        <w:t xml:space="preserve">пункта 7.1 «СП 42.13330.2016. Свод правил. Градостроительство. Планировка и застройка городских и сельских поселений. </w:t>
      </w:r>
      <w:proofErr w:type="gramStart"/>
      <w:r>
        <w:rPr>
          <w:rFonts w:eastAsia="Calibri"/>
          <w:sz w:val="28"/>
          <w:szCs w:val="28"/>
          <w:lang w:val="ru-RU"/>
        </w:rPr>
        <w:t xml:space="preserve">Актуализированная редакция СНиП 2.07.01-89*», согласно которому 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участках, должны быть не менее 6 м, расстояние от границ участка до стены жилого дома должно быть не менее 3 м, </w:t>
      </w:r>
      <w:r>
        <w:rPr>
          <w:sz w:val="28"/>
          <w:szCs w:val="28"/>
          <w:lang w:val="ru-RU"/>
        </w:rPr>
        <w:t>а также норм ранее выданного разрешения на</w:t>
      </w:r>
      <w:proofErr w:type="gramEnd"/>
      <w:r>
        <w:rPr>
          <w:sz w:val="28"/>
          <w:szCs w:val="28"/>
          <w:lang w:val="ru-RU"/>
        </w:rPr>
        <w:t xml:space="preserve"> строительство.</w:t>
      </w:r>
    </w:p>
    <w:p w:rsidR="009F20E5" w:rsidRDefault="009F20E5" w:rsidP="009F20E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Рекомендовать предоставить </w:t>
      </w:r>
      <w:r>
        <w:rPr>
          <w:rFonts w:cs="Times New Roman"/>
          <w:bCs/>
          <w:sz w:val="28"/>
          <w:szCs w:val="28"/>
          <w:lang w:val="ru-RU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57:25:0031016:163, площадью 240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Штернберга</w:t>
      </w:r>
      <w:proofErr w:type="spellEnd"/>
      <w:r>
        <w:rPr>
          <w:rFonts w:cs="Times New Roman"/>
          <w:bCs/>
          <w:sz w:val="28"/>
          <w:szCs w:val="28"/>
          <w:lang w:val="ru-RU"/>
        </w:rPr>
        <w:t>, 22, в части минимальной площади земельного участка менее 250 кв. м (240 кв. м).</w:t>
      </w: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F20E5" w:rsidRDefault="009F20E5" w:rsidP="009F20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9F20E5" w:rsidRDefault="009F20E5" w:rsidP="009F20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F20E5" w:rsidRDefault="009F20E5" w:rsidP="009F20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F20E5" w:rsidRDefault="009F20E5" w:rsidP="009F20E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F20E5" w:rsidRDefault="009F20E5" w:rsidP="009F20E5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9F20E5" w:rsidRDefault="009F20E5" w:rsidP="009F20E5">
      <w:pPr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jc w:val="both"/>
        <w:rPr>
          <w:sz w:val="28"/>
          <w:szCs w:val="28"/>
          <w:lang w:val="ru-RU"/>
        </w:rPr>
      </w:pPr>
    </w:p>
    <w:p w:rsidR="009F20E5" w:rsidRDefault="009F20E5" w:rsidP="009F20E5">
      <w:pPr>
        <w:jc w:val="both"/>
        <w:rPr>
          <w:sz w:val="28"/>
          <w:szCs w:val="28"/>
          <w:lang w:val="ru-RU"/>
        </w:rPr>
      </w:pPr>
    </w:p>
    <w:p w:rsidR="008A659B" w:rsidRDefault="008A659B">
      <w:bookmarkStart w:id="0" w:name="_GoBack"/>
      <w:bookmarkEnd w:id="0"/>
    </w:p>
    <w:sectPr w:rsidR="008A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14"/>
    <w:rsid w:val="001A2014"/>
    <w:rsid w:val="008A659B"/>
    <w:rsid w:val="009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0E5"/>
    <w:pPr>
      <w:ind w:left="720"/>
      <w:contextualSpacing/>
    </w:pPr>
  </w:style>
  <w:style w:type="paragraph" w:customStyle="1" w:styleId="Standard">
    <w:name w:val="Standard"/>
    <w:uiPriority w:val="99"/>
    <w:rsid w:val="009F20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F20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4">
    <w:name w:val="Hyperlink"/>
    <w:basedOn w:val="a0"/>
    <w:uiPriority w:val="99"/>
    <w:semiHidden/>
    <w:unhideWhenUsed/>
    <w:rsid w:val="009F2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0E5"/>
    <w:pPr>
      <w:ind w:left="720"/>
      <w:contextualSpacing/>
    </w:pPr>
  </w:style>
  <w:style w:type="paragraph" w:customStyle="1" w:styleId="Standard">
    <w:name w:val="Standard"/>
    <w:uiPriority w:val="99"/>
    <w:rsid w:val="009F20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F20E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4">
    <w:name w:val="Hyperlink"/>
    <w:basedOn w:val="a0"/>
    <w:uiPriority w:val="99"/>
    <w:semiHidden/>
    <w:unhideWhenUsed/>
    <w:rsid w:val="009F2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5DD1EA76B353576BC1275127207B5A842942BB09743C800E732000A6D0B887AEDEACA32A568D27AB172B94373515A1659DE1D2A14D446C0Ct3N" TargetMode="External"/><Relationship Id="rId5" Type="http://schemas.openxmlformats.org/officeDocument/2006/relationships/hyperlink" Target="consultantplus://offline/ref=6F5DD1EA76B353576BC1275127207B5A86284CB4087A3C800E732000A6D0B887BCDEF4AF29569323AA027DC57106t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2020-11-16T12:52:00Z</dcterms:created>
  <dcterms:modified xsi:type="dcterms:W3CDTF">2020-11-16T12:52:00Z</dcterms:modified>
</cp:coreProperties>
</file>