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6C0" w:rsidRPr="005376C0" w:rsidRDefault="005376C0" w:rsidP="005376C0">
      <w:pPr>
        <w:pBdr>
          <w:bottom w:val="dotted" w:sz="6" w:space="3" w:color="D8D8D8"/>
        </w:pBdr>
        <w:shd w:val="clear" w:color="auto" w:fill="FFFFFF"/>
        <w:spacing w:after="0" w:line="413" w:lineRule="atLeast"/>
        <w:textAlignment w:val="center"/>
        <w:outlineLvl w:val="1"/>
        <w:rPr>
          <w:rFonts w:ascii="Arial" w:eastAsia="Times New Roman" w:hAnsi="Arial" w:cs="Arial"/>
          <w:color w:val="4D7794"/>
          <w:sz w:val="38"/>
          <w:szCs w:val="38"/>
          <w:lang w:eastAsia="ru-RU"/>
        </w:rPr>
      </w:pPr>
      <w:r w:rsidRPr="005376C0">
        <w:rPr>
          <w:rFonts w:ascii="Arial" w:eastAsia="Times New Roman" w:hAnsi="Arial" w:cs="Arial"/>
          <w:color w:val="4D7794"/>
          <w:sz w:val="38"/>
          <w:szCs w:val="38"/>
          <w:lang w:eastAsia="ru-RU"/>
        </w:rPr>
        <w:t>Итоговый отчет управления образования администрации города Орла о результатах анализа состояния и перспектив развития системы образования за 2017 год</w:t>
      </w:r>
    </w:p>
    <w:p w:rsidR="005376C0" w:rsidRPr="005376C0" w:rsidRDefault="005376C0" w:rsidP="005376C0">
      <w:pPr>
        <w:numPr>
          <w:ilvl w:val="0"/>
          <w:numId w:val="1"/>
        </w:numPr>
        <w:shd w:val="clear" w:color="auto" w:fill="F7FAFE"/>
        <w:spacing w:after="0" w:line="240" w:lineRule="auto"/>
        <w:ind w:left="0"/>
        <w:jc w:val="center"/>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размер шрифта </w:t>
      </w:r>
      <w:hyperlink r:id="rId5" w:history="1">
        <w:r w:rsidRPr="005376C0">
          <w:rPr>
            <w:rFonts w:ascii="Arial" w:eastAsia="Times New Roman" w:hAnsi="Arial" w:cs="Arial"/>
            <w:noProof/>
            <w:color w:val="222323"/>
            <w:sz w:val="18"/>
            <w:szCs w:val="18"/>
            <w:lang w:eastAsia="ru-RU"/>
          </w:rPr>
          <w:drawing>
            <wp:inline distT="0" distB="0" distL="0" distR="0">
              <wp:extent cx="9525" cy="9525"/>
              <wp:effectExtent l="0" t="0" r="0" b="0"/>
              <wp:docPr id="2" name="Рисунок 2" descr="уменьшить размер шрифт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меньшить размер шрифта">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376C0">
          <w:rPr>
            <w:rFonts w:ascii="Arial" w:eastAsia="Times New Roman" w:hAnsi="Arial" w:cs="Arial"/>
            <w:color w:val="222323"/>
            <w:sz w:val="18"/>
            <w:szCs w:val="18"/>
            <w:u w:val="single"/>
            <w:lang w:eastAsia="ru-RU"/>
          </w:rPr>
          <w:t> </w:t>
        </w:r>
      </w:hyperlink>
      <w:hyperlink r:id="rId7" w:history="1">
        <w:r w:rsidRPr="005376C0">
          <w:rPr>
            <w:rFonts w:ascii="Arial" w:eastAsia="Times New Roman" w:hAnsi="Arial" w:cs="Arial"/>
            <w:noProof/>
            <w:color w:val="222323"/>
            <w:sz w:val="18"/>
            <w:szCs w:val="18"/>
            <w:lang w:eastAsia="ru-RU"/>
          </w:rPr>
          <w:drawing>
            <wp:inline distT="0" distB="0" distL="0" distR="0">
              <wp:extent cx="9525" cy="9525"/>
              <wp:effectExtent l="0" t="0" r="0" b="0"/>
              <wp:docPr id="1" name="Рисунок 1" descr="увеличить размер шрифт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величить размер шрифта">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376C0">
          <w:rPr>
            <w:rFonts w:ascii="Arial" w:eastAsia="Times New Roman" w:hAnsi="Arial" w:cs="Arial"/>
            <w:color w:val="222323"/>
            <w:sz w:val="18"/>
            <w:szCs w:val="18"/>
            <w:u w:val="single"/>
            <w:lang w:eastAsia="ru-RU"/>
          </w:rPr>
          <w:t> </w:t>
        </w:r>
      </w:hyperlink>
    </w:p>
    <w:p w:rsidR="005376C0" w:rsidRPr="005376C0" w:rsidRDefault="005376C0" w:rsidP="005376C0">
      <w:pPr>
        <w:numPr>
          <w:ilvl w:val="0"/>
          <w:numId w:val="1"/>
        </w:numPr>
        <w:pBdr>
          <w:left w:val="single" w:sz="6" w:space="6" w:color="CCCCCC"/>
        </w:pBdr>
        <w:shd w:val="clear" w:color="auto" w:fill="F7FAFE"/>
        <w:spacing w:after="0" w:line="240" w:lineRule="auto"/>
        <w:ind w:left="0"/>
        <w:jc w:val="center"/>
        <w:rPr>
          <w:rFonts w:ascii="Arial" w:eastAsia="Times New Roman" w:hAnsi="Arial" w:cs="Arial"/>
          <w:color w:val="222323"/>
          <w:sz w:val="18"/>
          <w:szCs w:val="18"/>
          <w:lang w:eastAsia="ru-RU"/>
        </w:rPr>
      </w:pPr>
      <w:hyperlink r:id="rId8" w:history="1">
        <w:r w:rsidRPr="005376C0">
          <w:rPr>
            <w:rFonts w:ascii="Arial" w:eastAsia="Times New Roman" w:hAnsi="Arial" w:cs="Arial"/>
            <w:color w:val="222323"/>
            <w:sz w:val="18"/>
            <w:szCs w:val="18"/>
            <w:u w:val="single"/>
            <w:lang w:eastAsia="ru-RU"/>
          </w:rPr>
          <w:t>Печать</w:t>
        </w:r>
      </w:hyperlink>
    </w:p>
    <w:p w:rsidR="005376C0" w:rsidRPr="005376C0" w:rsidRDefault="005376C0" w:rsidP="005376C0">
      <w:pPr>
        <w:shd w:val="clear" w:color="auto" w:fill="FFFFFF"/>
        <w:spacing w:after="0" w:line="240" w:lineRule="auto"/>
        <w:jc w:val="center"/>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I. Анализ состояния и перспектив развития системы образования</w:t>
      </w:r>
    </w:p>
    <w:p w:rsidR="005376C0" w:rsidRPr="005376C0" w:rsidRDefault="005376C0" w:rsidP="005376C0">
      <w:pPr>
        <w:shd w:val="clear" w:color="auto" w:fill="FFFFFF"/>
        <w:spacing w:after="0" w:line="240" w:lineRule="auto"/>
        <w:jc w:val="center"/>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1. Вводная часть</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Численность постоянного населения города Орла на 1 января 2018 года составила 315308 чел. Общая площадь в границах муниципального образования – 121,2 кв. км.</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Город имеет развитую сеть образовательных учреждений, реализующих программы дошкольного, начального общего, основного общего и среднего общего образования, в том числе - 43 общеобразовательных учреждения, 8 муниципальных детско-юношеских спортивных школ, 9 домов и Центров детского творчества, 81 муниципальный детский сад, городской образовательный центр сопровождения детей, нуждающихся в психолого- педагогической, медицинской и социальной помощи; работает городской информационно - методический центр.</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Анализ состояния системы образования и перспектив развития системы образования был проведен органом местного самоуправления, осуществляющим управление в сфере образования, которым является управление образования администрации города Орла (начальник управления образования администрации города Орла Александр Владимирович Шатохин, тел.43-51-14).</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При проведении анализа состояния системы образования и перспектив ее развития использовались показатели мониторинга системы образования в соответствии с разделами и подразделами показателей мониторинга системы образования, утвержденными приказами Министерства образования и науки Российской Федерации от 13 февраля 2017 года №129 «О внесении изменений в методику расчета показателей мониторинга системы образования, утвержденную приказом Министерства образования и науки Российской Федерации от 11 июня 2014 года №657», от 22 сентября 2017 года «Об утверждении показателей мониторинга системы образования», применялась методика расчета показателей мониторинга системы образования, утвержденной приказом Министерства образования и науки РФ от 11 июня 2014 №657 «Об утверждении методики расчета показателей мониторинга системы образования» использовались также результаты опросов, анализ документов, отчетная документация образовательных учреждений, размещенная на сайтах учреждений образования, данные статистических отчетов учреждений образования, результаты государственной итоговой аттестации.</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2. Анализ состояния и перспектив развития системы образования</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Муниципальная сфера образования в 2017 году функционировала в правовом поле Федерального закона ФЗ-273 от 29.12.2012 года «Об образовании в Российской Федерации».</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Муниципальная система образования в 2017 году была представлена 43 общеобразовательным учреждением, 81 дошкольным учреждением, 17 учреждениями дополнительного образования, 1 городским образовательным центром психолого – педагогической и медико - социальной помощи детям, на базе которого работает Территориальная (городская) психолого – медико- педагогическая комиссия, определяющая образовательный маршрут ребенка.</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Количество учащихся и воспитанников образовательных учреждений увеличилось по сравнению с 2016 годом на 1,9 тыс. человек (на 2,8%) и составило 68,6 тысяч человек: в общеобразовательных учреждениях обучалось 32,6 тыс. школьников, в дошкольных учреждениях – 17,9 тыс. воспитанников, в учреждениях дополнительного образования занималось 18,1 тыс. детей.</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Контингент обучающихся в муниципальных общеобразовательных учреждениях продолжает расти и ежегодно увеличивается на 1000 школьников. По итогам комплектования 9 учреждений образования (№№1, 4, 5, 13, 18, 19, 37, 40, 50) имеют контингент обучающихся свыше 1000 человек, при этом самая большая наполняемость в лицее №40- 1469 учеников.</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lastRenderedPageBreak/>
        <w:t>В целях обеспечения доступности и вариативности образования, удовлетворения образовательных запросов родителей и учеников в 2017 году открыты: 180 классов с углубленным изучением предметов, 35 профильных классов и 23 бипрофильных (профильная и общеобразовательная группы), 64 класса, где занятия ведутся по адаптированным общеобразовательным программам, сформированы 211 групп продленного дня для 4809 детей. Для 119 учащихся учеников организовано обучение на дому.</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В соответствии с федеральным образовательным стандартом в прошедшем году в первых и вторых классах обучались дети с ограниченными возможностями здоровья. В 10 общеобразовательных учреждениях №№ 4, 5, 6, 7, 12, 20, 22, 25, 36, 45 в рамках государственной программы «Доступная среда» созданы условия для обучения детей, имеющих ограничения в здоровье. Здесь установлены пандусы, расширены дверные проемы, оборудованы учебные места, выполнена специальная разметка для слабовидящих детей.</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В каждом районе города имеются по 2-3 школы, оборудованные ранее по государственной программе «Доступная среда», что обеспечивает создание необходимых условий для обучения детей этой категории.</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Участниками программы «Доступная среда» стали детские сады №№3, 13, 17, 25, 34, 35, 73, 84, которые уже имеют в своем составе группы для детей с нарушениями зрения, опорно-двигательного аппарата и другими. В 2017 году в вышеназванную программу вошел детский сад №87.</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В 3 детских садах работают группы кратковременного пребывания для детей, не посещающих дошкольные образовательные организации, в 42 - организованы консультативные пункты для родителей детей, не посещающих детские сады.</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По состоянию на 31 декабря 2017 года все нуждающиеся дети от 3 до 7 лет были обеспечены местами в детских садах. Все большую популярность среди родителей приобретает электронный формат подачи заявлений на постановку на учет и зачисление детей в детские сады через портал Госуслуг, региональный портал и через многофункциональный центр.</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На обучение по новым федеральным государственным стандартам переведены все учащиеся 1-8-х классов; начат переход на новые стандарты учащихся 9-х классов. В целом на новые стандарты образования переведены 83,3% всех обучающихся (в 2016 году было 74,3%).</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Все школьники обеспечены бесплатным горячим питанием.</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Качество предоставляемых образовательных услуг подтверждается достигнутыми результатами. Общее количество выпускников 9-х классов, справившихся с экзаменационной работой по математике, составило 96%, по русскому языку - 99,6%.</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С экзаменом по математике (базовый уровень) в основные сроки 98,6 % выпускников 11- х классов справились успешно, по результатом профильного экзамена по математике 4 выпускника набрали 90 и более баллов (образовательные учреждения№№4,19,22,32).</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Обязательный экзамен по русскому языку показал, что 99,9 % выпускников успешно выполнили задания, 12 работ оценены на 100 баллов.</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Увеличилось с 232 в 2016 до 246 в 2017 году количество выпускников, награжденных медалями «За особые успехи в учении».</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Педагогические коллективы особое внимание уделяют работе с одаренными детьми. В 2016- 2017 учебном году победителями и призерами регионального этапа олимпиады школьников стали 151 участник. Наивысшие показатели по числу победителей и призеров олимпиады в этом году показали общеобразовательные учреждения №№ 40, 39, 1, 34.</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Призером заключительного этапа Всероссийской олимпиады школьников в 2016-2017 учебном году по экологии стала Комарова Александра, выпускница лицея №40.</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Звание «Ученик года - 2017» присвоено Томенко Екатерине, ученице 9 класса гимназии № 39 города Орла, которая признана победителем не только городского, но регионального этапа данного конкурса.</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lastRenderedPageBreak/>
        <w:t>В 2017 году 10 лучших педагогов были отмечены муниципальной премией в размере 30 тысяч рублей каждая, 45 одаренных школьников получали муниципальную стипендию, 15 обучающихся удостоены стипендий Губернатора Орловской области, 3 ученика стали обладателями гранта Губернатора Орловской области.</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Лауреатами областного этапа Всероссийского конкурса «Учитель года– 2017» стали педагоги Рябцева А.Г. (лицей №22), Морева О.В. (школа №24), Гончаренко В.В. (школа №29).</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Победителем городского конкурса «Воспитатель года – 2017 » признана воспитатель детского сада №85 Серебрянникова Евгения Евгеньевна, одноименного областного - Курасова Дарья Сергеевна, педагог детского сада №48.</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В региональном этапе Всероссийского конкурса «Сердце отдаю детям» победителем жюри признало Панфилова Александра Александровича, педагога дополнительного образования Дома детского творчества №3.</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В ежегодном городском конкурсе «Лица города – 2017» в номинации «Призвание» победителем стала Захарова Т. И., заместитель директора городского информационно - методического центра.</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В 2017 году Дом детского творчества № 3 стал лауреатом Всероссийского смотра-конкурса образовательных организаций. Призёрами конкурса «Школа года Орловской области» стали гимназия № 39 и школа № 6.</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Победителем в областной военно - патриотической игре «Зарница» и городском конкурсе военно - патриотической работы признаны ученики школы №33.</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Ежегодно лучшие юнармейские отряды с гордостью принимают участие в параде войск Орловского гарнизона в День Победы.</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Особое место в патриотическом воспитании детей занимает Российское движение школьников. В числе «пилотных» в Российском движении школьников в 2017 году активно участвовали учреждения образования: №№22, 1, 31, 11.</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Новой формой в данном направлении деятельности по праву стало детско- юношеское движение «Юнармия». Первыми юнармейцами стали 20 воспитанников Центра «Десантник» и Центра детского творчества №5.</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Большую работу по военно - патриотическому воспитанию подростков проводит учреждение дополнительного образования - Центр «Десантник», команда которого вошла в десятку лучших команд из всех регионов России на Всероссийских соревнованиях в оздоровительном Центре «Орленок» в мае 2017 года.</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На организацию различных форм отдыха и оздоровления детей города Орла в 2017 году было израсходовано 34,7 млн.рублей. В загородных оздоровительных лагерях, санаториях отдохнули 1616 детей, в пришкольных лагерях, организованных на базе 43 общеобразовательных учреждений, отдохнули 6672 школьника.</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В бюджете города Орла на ремонт учреждений образования было выделено 14,8 млн. рублей, кроме того, 1,7 млн. рублей израсходовано на мероприятия по энергосбережению.</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По Рабочей программе наказов избирателей депутатам Горсовета в 2017 году на ремонт образовательных учреждений, приобретение технологического и учебного оборудования, учебных материалов, мебели, оргтехники было направлено 22,7 млн. рублей. По областной программе наказов избирателей на эти цели было израсходовано 9,2 млн.рублей.</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В 29 школах и детских садах выполнен текущий ремонт кровли, отопление и освещение отремонтировано в 27 учреждениях, в 46 учреждениях проведена выборочная замена оконных блоков, в 14 учреждениях отремонтированы пищеблоки, в 46 учреждениях — специализированные помещения (медицинские кабинеты, спортзалы, прачечные, рекреации). В 22 учреждениях дооснащены системы автоматической пожарной сигнализации, в 18 учреждениях отремонтированы эвакуационные выходы. Отремонтированы асфальтовые покрытия территорий в 8 детских садах, во всех учреждениях была организована работа по благоустройству прилегающих территорий, высадке зеленых насаждений.</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lastRenderedPageBreak/>
        <w:t>По результатам приемки учреждений образования Межведомственными комиссиями к новому учебному году приняты все муниципальные образовательные учреждения.</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Среднемесячная заработная плата в муниципальных учреждениях образования увеличилась по сравнению с 2016 годом и составила: у учителей муниципальных общеобразовательных учреждений — 23320 рублей (рост на 6%), у педагогических работников общеобразовательных учреждений — 22686 рублей (рост на 5,1%), у педагогических работников детских садов — 20838 рублей (рост на 12,2%), педагогических работников учреждения дополнительного образования — 22640 рублей (рост на 13%).</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Основными задачами в сфере образования в 2017 году являлись выполнение майских Указов Президента РФ, обеспечение условий для функционирования муниципальных образовательных учреждений, в том числе для обучающихся с разными образовательными потребностями, а также для детей с ограниченными возможностями здоровья, выявление одаренных и талантливых детей в целях поддержания развития их способностей и талантов, в том числе выплата муниципальных стипендий одаренным детям, повышение доступности и качества дополнительного образования для детей всех социальных и возрастных групп в соответствии с их интересами.</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3. Выводы и заключения</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В целом, по результатам проведенного анализа состояния муниципальной системы образования можно сделать вывод о том, что муниципальная система образования в 2017 году успешно функционировала в режиме развития, обеспечивая выполнение требований федерального законодательства в сфере образования.</w:t>
      </w:r>
    </w:p>
    <w:p w:rsidR="005376C0" w:rsidRPr="005376C0" w:rsidRDefault="005376C0" w:rsidP="005376C0">
      <w:pPr>
        <w:shd w:val="clear" w:color="auto" w:fill="FFFFFF"/>
        <w:spacing w:after="0" w:line="240" w:lineRule="auto"/>
        <w:jc w:val="both"/>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center"/>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II. Показатели мониторинга</w:t>
      </w:r>
    </w:p>
    <w:p w:rsidR="005376C0" w:rsidRPr="005376C0" w:rsidRDefault="005376C0" w:rsidP="005376C0">
      <w:pPr>
        <w:shd w:val="clear" w:color="auto" w:fill="FFFFFF"/>
        <w:spacing w:after="0" w:line="240" w:lineRule="auto"/>
        <w:jc w:val="center"/>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right"/>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Приложение</w:t>
      </w:r>
    </w:p>
    <w:p w:rsidR="005376C0" w:rsidRPr="005376C0" w:rsidRDefault="005376C0" w:rsidP="005376C0">
      <w:pPr>
        <w:shd w:val="clear" w:color="auto" w:fill="FFFFFF"/>
        <w:spacing w:after="0" w:line="240" w:lineRule="auto"/>
        <w:jc w:val="right"/>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Утверждены</w:t>
      </w:r>
    </w:p>
    <w:p w:rsidR="005376C0" w:rsidRPr="005376C0" w:rsidRDefault="005376C0" w:rsidP="005376C0">
      <w:pPr>
        <w:shd w:val="clear" w:color="auto" w:fill="FFFFFF"/>
        <w:spacing w:after="0" w:line="240" w:lineRule="auto"/>
        <w:jc w:val="right"/>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приказом Министерства образования</w:t>
      </w:r>
    </w:p>
    <w:p w:rsidR="005376C0" w:rsidRPr="005376C0" w:rsidRDefault="005376C0" w:rsidP="005376C0">
      <w:pPr>
        <w:shd w:val="clear" w:color="auto" w:fill="FFFFFF"/>
        <w:spacing w:after="0" w:line="240" w:lineRule="auto"/>
        <w:jc w:val="right"/>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и науки Российской Федерации</w:t>
      </w:r>
    </w:p>
    <w:p w:rsidR="005376C0" w:rsidRPr="005376C0" w:rsidRDefault="005376C0" w:rsidP="005376C0">
      <w:pPr>
        <w:shd w:val="clear" w:color="auto" w:fill="FFFFFF"/>
        <w:spacing w:after="0" w:line="240" w:lineRule="auto"/>
        <w:jc w:val="right"/>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от 22 сентября 2017 г. N 955</w:t>
      </w:r>
    </w:p>
    <w:p w:rsidR="005376C0" w:rsidRPr="005376C0" w:rsidRDefault="005376C0" w:rsidP="005376C0">
      <w:pPr>
        <w:shd w:val="clear" w:color="auto" w:fill="FFFFFF"/>
        <w:spacing w:after="0" w:line="240" w:lineRule="auto"/>
        <w:jc w:val="center"/>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p w:rsidR="005376C0" w:rsidRPr="005376C0" w:rsidRDefault="005376C0" w:rsidP="005376C0">
      <w:pPr>
        <w:shd w:val="clear" w:color="auto" w:fill="FFFFFF"/>
        <w:spacing w:after="0" w:line="240" w:lineRule="auto"/>
        <w:jc w:val="center"/>
        <w:rPr>
          <w:rFonts w:ascii="Arial" w:eastAsia="Times New Roman" w:hAnsi="Arial" w:cs="Arial"/>
          <w:color w:val="222323"/>
          <w:sz w:val="18"/>
          <w:szCs w:val="18"/>
          <w:lang w:eastAsia="ru-RU"/>
        </w:rPr>
      </w:pPr>
      <w:r w:rsidRPr="005376C0">
        <w:rPr>
          <w:rFonts w:ascii="Arial" w:eastAsia="Times New Roman" w:hAnsi="Arial" w:cs="Arial"/>
          <w:color w:val="222323"/>
          <w:sz w:val="20"/>
          <w:szCs w:val="20"/>
          <w:lang w:eastAsia="ru-RU"/>
        </w:rPr>
        <w:t>ПОКАЗАТЕЛИ МОНИТОРИНГА СИСТЕМЫ ОБРАЗОВАНИЯ</w:t>
      </w:r>
    </w:p>
    <w:p w:rsidR="005376C0" w:rsidRPr="005376C0" w:rsidRDefault="005376C0" w:rsidP="005376C0">
      <w:pPr>
        <w:shd w:val="clear" w:color="auto" w:fill="FFFFFF"/>
        <w:spacing w:after="0" w:line="240" w:lineRule="auto"/>
        <w:jc w:val="center"/>
        <w:rPr>
          <w:rFonts w:ascii="Arial" w:eastAsia="Times New Roman" w:hAnsi="Arial" w:cs="Arial"/>
          <w:color w:val="222323"/>
          <w:sz w:val="18"/>
          <w:szCs w:val="18"/>
          <w:lang w:eastAsia="ru-RU"/>
        </w:rPr>
      </w:pPr>
      <w:r w:rsidRPr="005376C0">
        <w:rPr>
          <w:rFonts w:ascii="Arial" w:eastAsia="Times New Roman" w:hAnsi="Arial" w:cs="Arial"/>
          <w:color w:val="222323"/>
          <w:sz w:val="18"/>
          <w:szCs w:val="18"/>
          <w:lang w:eastAsia="ru-RU"/>
        </w:rPr>
        <w:t> </w:t>
      </w:r>
    </w:p>
    <w:tbl>
      <w:tblPr>
        <w:tblW w:w="8295" w:type="dxa"/>
        <w:tblCellMar>
          <w:left w:w="0" w:type="dxa"/>
          <w:right w:w="0" w:type="dxa"/>
        </w:tblCellMar>
        <w:tblLook w:val="04A0" w:firstRow="1" w:lastRow="0" w:firstColumn="1" w:lastColumn="0" w:noHBand="0" w:noVBand="1"/>
      </w:tblPr>
      <w:tblGrid>
        <w:gridCol w:w="6222"/>
        <w:gridCol w:w="2073"/>
      </w:tblGrid>
      <w:tr w:rsidR="005376C0" w:rsidRPr="005376C0" w:rsidTr="005376C0">
        <w:tc>
          <w:tcPr>
            <w:tcW w:w="595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Раздел/подраздел/показатель</w:t>
            </w:r>
          </w:p>
        </w:tc>
        <w:tc>
          <w:tcPr>
            <w:tcW w:w="198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Единица измерения/форма оценки</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I. Общее образование</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 Сведения о развитии дошкольного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1.1. Уровень доступности дошкольного образования и численность населения, получающего дошкольное образование</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всего (в возрасте от 2 месяцев до 7 лет);</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68,4 %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в возрасте от 2 месяцев до 3 лет;</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26 %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в возрасте от 3 до 7 лет.</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100 %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lastRenderedPageBreak/>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всего (в возрасте от 2 месяцев до 7 лет);</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83,7 %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в возрасте от 2 месяцев до 3 лет;</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29 %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в возрасте от 3 до 7 лет.</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126,4 %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процент</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группы компенсирующей направленности;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19 человек</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группы общеразвивающей направленности;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27 человек</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группы оздоровительной направленности;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15 человек</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группы комбинированной направленности;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27 человек</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семейные дошкольные группы.</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в режиме кратковременного пребывания;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8 человек</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в режиме круглосуточного пребывания.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14 человек</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группы компенсирующей направленности;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16,93 %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группы общеразвивающей направленности;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81,6 %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группы оздоровительной направленности;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1,01 %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группы комбинированной направленности;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0,46 %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lastRenderedPageBreak/>
              <w:t>группы по присмотру и уходу за детьми.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1.3. Кадровое обеспечение дошкольных образовательных организаций и оценка уровня заработной платы педагогических работников</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8</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воспитатели;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71 %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старшие воспитатели;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2,85 %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музыкальные руководители;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6,22 %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инструкторы по физической культуре;</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3,6 %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учителя-логопеды;</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7,67 %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учителя-дефектологи;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0,84 %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педагоги-психологи;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3,46 %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социальные педагоги;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0,6 %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педагоги-организаторы;</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педагоги дополнительного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3,74 %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92 %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1.4. Материально-техническое и информационное обеспечение дошкольных образовательных организаций</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1.4.1. Площадь помещений, используемых непосредственно для нужд дошкольных образовательных организаций, в расчете на 1 ребенка.</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10,8 квадратный метр</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95 %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1.4.3. Удельный вес числа организаций, имеющих физкультурные залы, в общем числе дошкольных образовательных организаций.</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69 %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lastRenderedPageBreak/>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0,11 единиц</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1.5. Условия получения дошкольного образования лицами с ограниченными возможностями здоровья и инвалидами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20,9 %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1,03 %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компенсирующей направленности, в том числе для воспитанников:</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77,3 %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 нарушениями слуха;</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 нарушениями речи;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64,5 %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 нарушениями зрения;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7,37 %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 умственной отсталостью (интеллектуальными нарушениями);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0,64 %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 задержкой психического развития;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0,75 %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 нарушениями опорно-двигательного аппарата;</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1,95 %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со сложными дефектами (множественными нарушениями);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 другими ограниченными возможностями здоровья.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1,74 %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оздоровительной направленности;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комбинированной направленности.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0,35 %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компенсирующей направленности, в том числе для воспитанников:</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55,22 %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 нарушениями слуха;</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 нарушениями речи;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14,2 %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 нарушениями зрения;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6,55 %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 умственной отсталостью (интеллектуальными нарушениями);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22,95 %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lastRenderedPageBreak/>
              <w:t>с задержкой психического развития;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12 %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 нарушениями опорно-двигательного аппарата;</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4,9 %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со сложными дефектами (множественными нарушениями);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 другими ограниченными возможностями здоровья;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2,2 %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оздоровительной направленности;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0,5 %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комбинированной направленности.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3,8 %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1.6. Состояние здоровья лиц, обучающихся по программам дошкольного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100 %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дошкольные образовательные организации;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102,5%</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обособленные подразделения (филиалы) дошкольных образовательных организаций;</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обособленные подразделения (филиалы) общеобразовательных организаций;</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1.8. Финансово-экономическая деятельность дошкольных образовательных организаций</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83 079,86 тыс рублей</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lastRenderedPageBreak/>
              <w:t>1.9. Создание безопасных условий при организации образовательного процесса в дошкольных образовательных организациях</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1,2 %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 Сведения о развитии начального общего образования, основного общего образования и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83,27</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61,5</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2.1.4. Наполняемость классов по уровням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начальное общее образование (1 - 4 классы);</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14187</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основное общее образование (5 - 9 классы);</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15441</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среднее общее образование (10 - 11 (12) классы).</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3006</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3</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 xml:space="preserve">2.2.1. Удельный вес численности обучающихся в первую смену в общей численности обучающихся по образовательным </w:t>
            </w:r>
            <w:r w:rsidRPr="005376C0">
              <w:rPr>
                <w:rFonts w:ascii="Arial" w:eastAsia="Times New Roman" w:hAnsi="Arial" w:cs="Arial"/>
                <w:sz w:val="20"/>
                <w:szCs w:val="20"/>
                <w:lang w:eastAsia="ru-RU"/>
              </w:rPr>
              <w:lastRenderedPageBreak/>
              <w:t>программам начального общего, основного общего, среднего общего образования по очной форме обучения.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lastRenderedPageBreak/>
              <w:t>76,33</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13,27</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2.2.3. Удельный вес численности обучающихся в классах (группах) профильного обучения в общей численности обучающихся в 10 - 11 (12) классах по образовательным программам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44,18</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hyperlink r:id="rId9" w:anchor="P1632" w:history="1">
              <w:r w:rsidRPr="005376C0">
                <w:rPr>
                  <w:rFonts w:ascii="Arial" w:eastAsia="Times New Roman" w:hAnsi="Arial" w:cs="Arial"/>
                  <w:color w:val="0000FF"/>
                  <w:sz w:val="20"/>
                  <w:szCs w:val="20"/>
                  <w:u w:val="single"/>
                  <w:lang w:eastAsia="ru-RU"/>
                </w:rPr>
                <w:t>&lt;****&gt;</w:t>
              </w:r>
            </w:hyperlink>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0,8</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13,12</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21,46</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педагогических работников - всего;</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103,9%</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из них учителей.</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106,8 %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74,58</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 xml:space="preserve">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w:t>
            </w:r>
            <w:r w:rsidRPr="005376C0">
              <w:rPr>
                <w:rFonts w:ascii="Arial" w:eastAsia="Times New Roman" w:hAnsi="Arial" w:cs="Arial"/>
                <w:sz w:val="20"/>
                <w:szCs w:val="20"/>
                <w:lang w:eastAsia="ru-RU"/>
              </w:rPr>
              <w:lastRenderedPageBreak/>
              <w:t>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социальных педагогов:</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всего;</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44,19</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из них в штате;</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44,19</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педагогов-психологов:</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всего;</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83,72</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из них в штате;</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83,72</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учителей-логопедов:</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всего;</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97,67</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из них в штате.</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97,67</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11 кв м</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всего;</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14,36</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имеющих доступ к сети "Интернет".</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10,1</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37,2</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lastRenderedPageBreak/>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jc w:val="both"/>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20,9</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69,1</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10,1</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0,2</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для глухих;</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0,001</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для слабослышащих и позднооглохших;</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0, 002</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для слепых;</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0,001</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для слабовидящих;</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 тяжелыми нарушениями речи;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5,1</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 нарушениями опорно-двигательного аппарата;</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0,005</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 задержкой психического развития;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 расстройствами аутистического спектра;</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0,005</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 умственной отсталостью (интеллектуальными нарушениями).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0,001</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2.5.6. 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учителя-дефектолога;</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3</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учителя-логопеда;</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480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педагога-психолога;</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694</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тьютора, ассистента (помощника).</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6</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lastRenderedPageBreak/>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2.6.4. 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основного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0,03</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0,14</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11,6</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lastRenderedPageBreak/>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46 440,98 тыс рублей</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1,89%</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2.10. Создание безопасных условий при организации образовательного процесса в общеобразовательных организациях</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95,3</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w:t>
            </w:r>
          </w:p>
        </w:tc>
      </w:tr>
    </w:tbl>
    <w:p w:rsidR="005376C0" w:rsidRPr="005376C0" w:rsidRDefault="005376C0" w:rsidP="005376C0">
      <w:pPr>
        <w:shd w:val="clear" w:color="auto" w:fill="FFFFFF"/>
        <w:spacing w:after="0" w:line="240" w:lineRule="auto"/>
        <w:rPr>
          <w:rFonts w:ascii="Arial" w:eastAsia="Times New Roman" w:hAnsi="Arial" w:cs="Arial"/>
          <w:vanish/>
          <w:color w:val="222323"/>
          <w:sz w:val="18"/>
          <w:szCs w:val="18"/>
          <w:lang w:eastAsia="ru-RU"/>
        </w:rPr>
      </w:pPr>
    </w:p>
    <w:tbl>
      <w:tblPr>
        <w:tblW w:w="7935" w:type="dxa"/>
        <w:tblCellMar>
          <w:left w:w="0" w:type="dxa"/>
          <w:right w:w="0" w:type="dxa"/>
        </w:tblCellMar>
        <w:tblLook w:val="04A0" w:firstRow="1" w:lastRow="0" w:firstColumn="1" w:lastColumn="0" w:noHBand="0" w:noVBand="1"/>
      </w:tblPr>
      <w:tblGrid>
        <w:gridCol w:w="5952"/>
        <w:gridCol w:w="1983"/>
      </w:tblGrid>
      <w:tr w:rsidR="005376C0" w:rsidRPr="005376C0" w:rsidTr="005376C0">
        <w:tc>
          <w:tcPr>
            <w:tcW w:w="595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III. Дополнительное образование</w:t>
            </w:r>
          </w:p>
        </w:tc>
        <w:tc>
          <w:tcPr>
            <w:tcW w:w="198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 Сведения о развитии дополнительного образования детей и взрослых</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5.1. Численность населения, обучающегося по дополнительным общеобразовательным программам</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22443</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68,7%</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5.1.2. Структура численности детей, обучающихся по дополнительным общеобразовательным программам, по направлениям </w:t>
            </w:r>
            <w:hyperlink r:id="rId10" w:anchor="P1629" w:history="1">
              <w:r w:rsidRPr="005376C0">
                <w:rPr>
                  <w:rFonts w:ascii="Arial" w:eastAsia="Times New Roman" w:hAnsi="Arial" w:cs="Arial"/>
                  <w:color w:val="0000FF"/>
                  <w:sz w:val="20"/>
                  <w:szCs w:val="20"/>
                  <w:u w:val="single"/>
                  <w:lang w:eastAsia="ru-RU"/>
                </w:rPr>
                <w:t>&lt;*&gt;</w:t>
              </w:r>
            </w:hyperlink>
            <w:r w:rsidRPr="005376C0">
              <w:rPr>
                <w:rFonts w:ascii="Arial" w:eastAsia="Times New Roman" w:hAnsi="Arial" w:cs="Arial"/>
                <w:sz w:val="20"/>
                <w:szCs w:val="20"/>
                <w:lang w:eastAsia="ru-RU"/>
              </w:rPr>
              <w:t>:</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техническое;</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4,14%</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естественнонаучное;</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4,19%</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lastRenderedPageBreak/>
              <w:t>туристско-краеведческое;</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1,69%</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социально-педагогическое;</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10,5%</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в области искусств:</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по общеразвивающим программам;</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29,5%</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по предпрофессиональным программам;</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20,87%</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в области физической культуры и спорта:</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по общеразвивающим программам;</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7,32%</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по предпрофессиональным программам.</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21,79%</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5.1.3. 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5.1.4. 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7,14%</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5.2.1. 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0,2%</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5.2.2. Удельный вес численности детей-инвалидов в общей численности обучающихся в организациях дополнительного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97,1%</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lastRenderedPageBreak/>
              <w:t>5.3.2. Удельный вес численности педагогических работников в общей численности работников организаций дополнительного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всего;</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59,6%</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внешние совместители.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11,5%</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в организациях дополнительного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2,8%</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5.3.4. Удельный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25,2%</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5.4.1. Общая площадь всех помещений организаций дополнительного образования в расчете на 1 обучающегося.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4,5 кв. метр</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5.4.2. Удельный вес числа организаций, имеющих следующие виды благоустройства, в общем числе организаций дополнительного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водопровод;</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центральное отопление;</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канализацию;</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пожарную сигнализацию;</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дымовые извещатели;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пожарные краны и рукава;</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43,75%</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системы видеонаблюдения;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35,3%</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"тревожную кнопку".</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lastRenderedPageBreak/>
              <w:t>всего;</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15</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имеющих доступ к сети "Интернет".</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5.5.1. Темп роста числа организаций (филиалов) дополнительного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5.6.1. Общий объем финансовых средств, поступивших в организации дополнительного образования, в расчете на 1 обучающегося.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11 805,54 тыс рублей</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2,77 %</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92,8%</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5.7.1. Удельный вес числа организаций, имеющих филиалы, в общем числе организаций дополнительного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5.9. Учебные и внеучебные достижения лиц, обучающихся по программам дополнительного образования детей</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lastRenderedPageBreak/>
              <w:t>5.9.1.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приобретение актуальных знаний, умений, практических навыков обучающимися; </w:t>
            </w:r>
            <w:hyperlink r:id="rId11" w:anchor="P1629" w:history="1">
              <w:r w:rsidRPr="005376C0">
                <w:rPr>
                  <w:rFonts w:ascii="Arial" w:eastAsia="Times New Roman" w:hAnsi="Arial" w:cs="Arial"/>
                  <w:color w:val="0000FF"/>
                  <w:sz w:val="20"/>
                  <w:szCs w:val="20"/>
                  <w:u w:val="single"/>
                  <w:lang w:eastAsia="ru-RU"/>
                </w:rPr>
                <w:t>&lt;*&gt;</w:t>
              </w:r>
            </w:hyperlink>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88%</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выявление и развитие таланта и способностей обучающихся; </w:t>
            </w:r>
            <w:hyperlink r:id="rId12" w:anchor="P1629" w:history="1">
              <w:r w:rsidRPr="005376C0">
                <w:rPr>
                  <w:rFonts w:ascii="Arial" w:eastAsia="Times New Roman" w:hAnsi="Arial" w:cs="Arial"/>
                  <w:color w:val="0000FF"/>
                  <w:sz w:val="20"/>
                  <w:szCs w:val="20"/>
                  <w:u w:val="single"/>
                  <w:lang w:eastAsia="ru-RU"/>
                </w:rPr>
                <w:t>&lt;*&gt;</w:t>
              </w:r>
            </w:hyperlink>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65%</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профессиональная ориентация, освоение значимых для профессиональной деятельности навыков обучающимися; </w:t>
            </w:r>
            <w:hyperlink r:id="rId13" w:anchor="P1629" w:history="1">
              <w:r w:rsidRPr="005376C0">
                <w:rPr>
                  <w:rFonts w:ascii="Arial" w:eastAsia="Times New Roman" w:hAnsi="Arial" w:cs="Arial"/>
                  <w:color w:val="0000FF"/>
                  <w:sz w:val="20"/>
                  <w:szCs w:val="20"/>
                  <w:u w:val="single"/>
                  <w:lang w:eastAsia="ru-RU"/>
                </w:rPr>
                <w:t>&lt;*&gt;</w:t>
              </w:r>
            </w:hyperlink>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43%</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улучшение знаний в рамках основной общеобразовательной программы обучающимися. </w:t>
            </w:r>
            <w:hyperlink r:id="rId14" w:anchor="P1629" w:history="1">
              <w:r w:rsidRPr="005376C0">
                <w:rPr>
                  <w:rFonts w:ascii="Arial" w:eastAsia="Times New Roman" w:hAnsi="Arial" w:cs="Arial"/>
                  <w:color w:val="0000FF"/>
                  <w:sz w:val="20"/>
                  <w:szCs w:val="20"/>
                  <w:u w:val="single"/>
                  <w:lang w:eastAsia="ru-RU"/>
                </w:rPr>
                <w:t>&lt;*&gt;</w:t>
              </w:r>
            </w:hyperlink>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59%</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V. Дополнительная информация о системе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 Развитие системы оценки качества образования и информационной прозрачности системы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10.3. Развитие механизмов государственно-частного управления в системе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10.4. Развитие региональных систем оценки качества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10.4.1. Удельный вес числа организаций, имеющих веб-сайт в сети "Интернет", в общем числе организаций:</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дошкольные образовательные организации;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организации дополнительного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дошкольные образовательные организации;</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lastRenderedPageBreak/>
              <w:t>организации дополнительного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100</w:t>
            </w: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11. Сведения о создании условий социализации и самореализации молодежи (в том числе лиц, обучающихся по уровням и видам образования)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11.1. Социально-демографические характеристики и социальная интеграция</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p>
        </w:tc>
      </w:tr>
      <w:tr w:rsidR="005376C0" w:rsidRPr="005376C0" w:rsidTr="005376C0">
        <w:tc>
          <w:tcPr>
            <w:tcW w:w="59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5376C0" w:rsidRPr="005376C0" w:rsidRDefault="005376C0" w:rsidP="005376C0">
            <w:pPr>
              <w:spacing w:after="0" w:line="240" w:lineRule="auto"/>
              <w:rPr>
                <w:rFonts w:ascii="Times New Roman" w:eastAsia="Times New Roman" w:hAnsi="Times New Roman" w:cs="Times New Roman"/>
                <w:sz w:val="24"/>
                <w:szCs w:val="24"/>
                <w:lang w:eastAsia="ru-RU"/>
              </w:rPr>
            </w:pPr>
            <w:r w:rsidRPr="005376C0">
              <w:rPr>
                <w:rFonts w:ascii="Arial" w:eastAsia="Times New Roman" w:hAnsi="Arial" w:cs="Arial"/>
                <w:sz w:val="20"/>
                <w:szCs w:val="20"/>
                <w:lang w:eastAsia="ru-RU"/>
              </w:rPr>
              <w:t>99</w:t>
            </w:r>
          </w:p>
        </w:tc>
      </w:tr>
    </w:tbl>
    <w:p w:rsidR="005376C0" w:rsidRDefault="005376C0">
      <w:bookmarkStart w:id="0" w:name="_GoBack"/>
      <w:bookmarkEnd w:id="0"/>
    </w:p>
    <w:sectPr w:rsidR="00537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1B2D"/>
    <w:multiLevelType w:val="multilevel"/>
    <w:tmpl w:val="82EA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C0"/>
    <w:rsid w:val="0053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4017A-93CF-4F0A-9085-5D313B9A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5376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76C0"/>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5376C0"/>
  </w:style>
  <w:style w:type="character" w:styleId="a3">
    <w:name w:val="Hyperlink"/>
    <w:basedOn w:val="a0"/>
    <w:uiPriority w:val="99"/>
    <w:semiHidden/>
    <w:unhideWhenUsed/>
    <w:rsid w:val="005376C0"/>
    <w:rPr>
      <w:color w:val="0000FF"/>
      <w:u w:val="single"/>
    </w:rPr>
  </w:style>
  <w:style w:type="paragraph" w:styleId="a4">
    <w:name w:val="Normal (Web)"/>
    <w:basedOn w:val="a"/>
    <w:uiPriority w:val="99"/>
    <w:semiHidden/>
    <w:unhideWhenUsed/>
    <w:rsid w:val="005376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14422">
      <w:bodyDiv w:val="1"/>
      <w:marLeft w:val="0"/>
      <w:marRight w:val="0"/>
      <w:marTop w:val="0"/>
      <w:marBottom w:val="0"/>
      <w:divBdr>
        <w:top w:val="none" w:sz="0" w:space="0" w:color="auto"/>
        <w:left w:val="none" w:sz="0" w:space="0" w:color="auto"/>
        <w:bottom w:val="none" w:sz="0" w:space="0" w:color="auto"/>
        <w:right w:val="none" w:sz="0" w:space="0" w:color="auto"/>
      </w:divBdr>
      <w:divsChild>
        <w:div w:id="1495413275">
          <w:marLeft w:val="0"/>
          <w:marRight w:val="0"/>
          <w:marTop w:val="240"/>
          <w:marBottom w:val="0"/>
          <w:divBdr>
            <w:top w:val="dotted" w:sz="6" w:space="2" w:color="CCCCCC"/>
            <w:left w:val="none" w:sz="0" w:space="0" w:color="auto"/>
            <w:bottom w:val="dotted" w:sz="6" w:space="2" w:color="CCCCCC"/>
            <w:right w:val="none" w:sz="0" w:space="0" w:color="auto"/>
          </w:divBdr>
        </w:div>
        <w:div w:id="286009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l-adm.ru/index.php?option=com_k2&amp;view=item&amp;id=15167:itogovyj-otchet-upravleniya-obrazovaniya-administratsii-goroda-orla-o-rezultatakh-analiza-sostoyaniya-i-perspektiv-razvitiya-sistemy-obrazovaniya-za-2017-god&amp;tmpl=component&amp;print=1" TargetMode="External"/><Relationship Id="rId13" Type="http://schemas.openxmlformats.org/officeDocument/2006/relationships/hyperlink" Target="http://www.orel-adm.ru/%D0%9C%D0%BE%D0%BD%D0%B8%D1%82%D0%BE%D1%80%D0%B8%D0%BD%D0%B3.doc" TargetMode="External"/><Relationship Id="rId3" Type="http://schemas.openxmlformats.org/officeDocument/2006/relationships/settings" Target="settings.xml"/><Relationship Id="rId7" Type="http://schemas.openxmlformats.org/officeDocument/2006/relationships/hyperlink" Target="http://www.orel-adm.ru/index.php?option=com_k2&amp;view=item&amp;id=15167:itogovyj-otchet-upravleniya-obrazovaniya-administratsii-goroda-orla-o-rezultatakh-analiza-sostoyaniya-i-perspektiv-razvitiya-sistemy-obrazovaniya-za-2017-god" TargetMode="External"/><Relationship Id="rId12" Type="http://schemas.openxmlformats.org/officeDocument/2006/relationships/hyperlink" Target="http://www.orel-adm.ru/%D0%9C%D0%BE%D0%BD%D0%B8%D1%82%D0%BE%D1%80%D0%B8%D0%BD%D0%B3.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orel-adm.ru/%D0%9C%D0%BE%D0%BD%D0%B8%D1%82%D0%BE%D1%80%D0%B8%D0%BD%D0%B3.doc" TargetMode="External"/><Relationship Id="rId5" Type="http://schemas.openxmlformats.org/officeDocument/2006/relationships/hyperlink" Target="http://www.orel-adm.ru/index.php?option=com_k2&amp;view=item&amp;id=15167:itogovyj-otchet-upravleniya-obrazovaniya-administratsii-goroda-orla-o-rezultatakh-analiza-sostoyaniya-i-perspektiv-razvitiya-sistemy-obrazovaniya-za-2017-god" TargetMode="External"/><Relationship Id="rId15" Type="http://schemas.openxmlformats.org/officeDocument/2006/relationships/fontTable" Target="fontTable.xml"/><Relationship Id="rId10" Type="http://schemas.openxmlformats.org/officeDocument/2006/relationships/hyperlink" Target="http://www.orel-adm.ru/%D0%9C%D0%BE%D0%BD%D0%B8%D1%82%D0%BE%D1%80%D0%B8%D0%BD%D0%B3.doc" TargetMode="External"/><Relationship Id="rId4" Type="http://schemas.openxmlformats.org/officeDocument/2006/relationships/webSettings" Target="webSettings.xml"/><Relationship Id="rId9" Type="http://schemas.openxmlformats.org/officeDocument/2006/relationships/hyperlink" Target="http://www.orel-adm.ru/index.php?option=com_k2&amp;view=item&amp;id=15167:itogovyj-otchet-upravleniya-obrazovaniya-administratsii-goroda-orla-o-rezultatakh-analiza-sostoyaniya-i-perspektiv-razvitiya-sistemy-obrazovaniya-za-2017-god" TargetMode="External"/><Relationship Id="rId14" Type="http://schemas.openxmlformats.org/officeDocument/2006/relationships/hyperlink" Target="http://www.orel-adm.ru/%D0%9C%D0%BE%D0%BD%D0%B8%D1%82%D0%BE%D1%80%D0%B8%D0%BD%D0%B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6903</Words>
  <Characters>39350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SIMAI Studio</dc:creator>
  <cp:keywords/>
  <dc:description/>
  <cp:lastModifiedBy>SIMAI Studio</cp:lastModifiedBy>
  <cp:revision>1</cp:revision>
  <dcterms:created xsi:type="dcterms:W3CDTF">2019-03-27T08:32:00Z</dcterms:created>
  <dcterms:modified xsi:type="dcterms:W3CDTF">2019-03-27T08:32:00Z</dcterms:modified>
</cp:coreProperties>
</file>